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Открытое акционерное общество Банк «Народный кредит»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29 мая 2023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155004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29.05.2023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РАД-331465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77 физическим лицам, срок предъявления по части ИЛ истек, г. Москва (20 300 031,92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РАД-331466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79 физическим лицам, срок предъявления по  ИЛ истек, Богданов А.К. находится в стадии банкротства, г. Москва (23 004 157,59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РАД-331467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80 физическим лицам, срок предъявления по части ИЛ истек, г. Москва (22 398 304,91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РАД-331468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80 физическим лицам, срок предъявления по части ИЛ истек, Хохлачева О.П. находится в стадии банкротства, г. Москва (24 253 421,14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РАД-331469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78 физическим лицам, срок предъявления по части ИЛ истек, Рязанцев В.В. находится в стадии банкротства, г. Москва (21 158 851,72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РАД-331470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77 физическим лицам, Антипова Т.В., Дувановой Г.В. находятся в стадии банкротства, г. Москва (22 177 387,31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РАД-331471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79 физическим лицам, срок предъявления по части ИЛ истек, Бороздина К.Ю., Прудникова И.С., Балахчина В.Н., Ткаченко Р.Н. находятся в стадии банкротства, г. Москва (23 163 994,96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РАД-331472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6 физическим лицам, г. Москва (1 887 270,79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РАД-331473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Терехову Александру Павловичу, КД ФЛ-788/14 от 25.06.2014, определение АС Московской области от 04.07.2022 по делу А41-44136/2016 о включении в 3-ю очередь РТК, находится в стадии банкротства (29 005 975,95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РАД-331474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Трапезникову Даниелю Сергеевичу, солидарно с Трапезниковым Сергеем Валерьевичем, КД ФЛ-628/13 от 18.06.2013, ФЛ-777/14 от 15.05.2014, решение Тверского районного суда г. Москвы от 02.12.2015 по делу 2-4399/2015 (14 165 875,08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РАД-331475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Гоциридзе Владлену Валерьевичу, КД ФЛ-277/09 от 06.10.2009, постановление Девятого арбитражного апелляционного суда г. Москвы по делу А40-110187/2017 от 25.02.2018, определение АС г. Москвы от 15.08.2018 по делу А40-110187/2017 о включении в 3-ю очередь РТК, процедура банкротства завершена, не применено правило об освобождении от дальнейшего исполнения обязательств (163 270 741,49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РАД-331476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Морозову Михаилу Михайловичу, КД ФЛ-780/14 от 19.05.2014, решение Тверского районного суда г. Москвы от 01.12.2016 по делу 2-6231/2016 (29 675 712,88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РАД-331477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Стрижко Ирине Евгеньевне, солидарно с Косолаповым Сергеем Евгеньевичем, КД ФЛ-158/08 от 04.07.2008, решение Тверского районного суда г. Москвы от 17.12.2015 по делу 2-6964/2015, определение АС Краснодарского края от 19.07.2022 по делу А40-181354/21-8-453  о включении в 3-ю очередь РТК, Косолапов С.Е. находится в стадии банкротства (47 678 227,07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