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"ФИА-БАНК"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26 марта 2021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113645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25.09.2020 г. 00:00:00 - 28.03.2021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РАД-237218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"Н.С.Н.-Групп", ИНН 6317091470, КД 25525 от 27.10.2014, КД 23431 от 18.10.2013, определение АС Самарской области от 10.05.2018 по делу А55-22444/2017 о включении в РТК третьей очереди, находится в стадии банкротства (8 962 953,88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РАД-237219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"ПЕНЗАВТОДОР", ИНН 5829732277, КД 286-П от 26.01.2015, КД 369-П от 05.08.2015, определение АС Самарской области от 05.04.2017 по делу А55-1190/2017 о включении в РТК третьей очереди, находится в стадии банкротства (724 562 289,81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РАД-237220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"ТрансОйл", ИНН 5836652985, КД 236-П от 11.08.2014, КД 246-П от 02.09.2014, определение АС Пензенской области от 26.12.2016 по делу А49-15979/2016 о включении в РТК третьей очереди, находится в стадии банкротства (197 137 239,36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РАД-237221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ИПК "Барус", ИНН 0229014028, решение АС Самарской области от 12.10.2018 по делу А55-23292/2018, решение АС Самарской области от 29.10.2018 по делу А07-25866/2018 (15 763,50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РАД-237222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"Марс", ИНН 1420041594, решение АС Республики Саха (Якутия) от 05.10.2018 по делу А58-7074/2018 (44 500,00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РАД-237223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"НОВИК", ИНН 7327059911, решение АС Самарской области от 11.10.2018 по делу А55-22896/2018 (11 590,00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РАД-237224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СК "Симбирский дом", ИНН 7325085641, решение АС Ульяновской области от 12.10.2018 по делу А72-13359/2018, ИФНС принято решение о предстоящем исключении ЮЛ из ЕГРЮЛ (6 623,69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