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8B358" w14:textId="0F6F4788" w:rsidR="00FC7902" w:rsidRPr="00B254E0" w:rsidRDefault="005A15FD" w:rsidP="005A15FD">
      <w:pPr>
        <w:spacing w:before="120" w:after="120"/>
        <w:jc w:val="both"/>
        <w:rPr>
          <w:color w:val="000000"/>
        </w:rPr>
      </w:pPr>
      <w:r w:rsidRPr="00B254E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254E0">
        <w:t>лит</w:t>
      </w:r>
      <w:proofErr w:type="gramStart"/>
      <w:r w:rsidRPr="00B254E0">
        <w:t>.В</w:t>
      </w:r>
      <w:proofErr w:type="spellEnd"/>
      <w:proofErr w:type="gramEnd"/>
      <w:r w:rsidRPr="00B254E0">
        <w:t xml:space="preserve">, (812)334-26-04, 8(800) 777-57-57, </w:t>
      </w:r>
      <w:hyperlink r:id="rId5" w:history="1">
        <w:r w:rsidRPr="00B254E0">
          <w:rPr>
            <w:rStyle w:val="a4"/>
          </w:rPr>
          <w:t>o.ivanova@auction-house.ru</w:t>
        </w:r>
      </w:hyperlink>
      <w:r w:rsidRPr="00B254E0">
        <w:t>), действующее на основании договора с Банком «</w:t>
      </w:r>
      <w:proofErr w:type="spellStart"/>
      <w:r w:rsidRPr="00B254E0">
        <w:t>Таатта</w:t>
      </w:r>
      <w:proofErr w:type="spellEnd"/>
      <w:r w:rsidRPr="00B254E0">
        <w:t>» акционерное общество ((Банк «</w:t>
      </w:r>
      <w:proofErr w:type="spellStart"/>
      <w:r w:rsidRPr="00B254E0">
        <w:t>Таатта</w:t>
      </w:r>
      <w:proofErr w:type="spellEnd"/>
      <w:r w:rsidRPr="00B254E0">
        <w:t xml:space="preserve">» АО), адрес регистрации: 677018, Республика Саха (Якутия), г. Якутск, ул. Чепалова, д. 36, ИНН 1435126628, ОГРН 1021400000380), конкурсным управляющим (ликвидатором) которого на основании решения </w:t>
      </w:r>
      <w:proofErr w:type="gramStart"/>
      <w:r w:rsidRPr="00B254E0">
        <w:t xml:space="preserve">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4), </w:t>
      </w:r>
      <w:r w:rsidR="00361B5A" w:rsidRPr="00B254E0">
        <w:rPr>
          <w:rFonts w:eastAsia="Calibri"/>
          <w:lang w:eastAsia="en-US"/>
        </w:rPr>
        <w:t>сообщает</w:t>
      </w:r>
      <w:r w:rsidR="00FC7902" w:rsidRPr="00B254E0">
        <w:t xml:space="preserve">, </w:t>
      </w:r>
      <w:r w:rsidR="00FC7902" w:rsidRPr="00B254E0">
        <w:rPr>
          <w:color w:val="000000"/>
        </w:rPr>
        <w:t>что по итогам электронных</w:t>
      </w:r>
      <w:r w:rsidR="00A2467D" w:rsidRPr="00B254E0">
        <w:rPr>
          <w:color w:val="000000"/>
        </w:rPr>
        <w:t xml:space="preserve"> </w:t>
      </w:r>
      <w:r w:rsidR="00FC7902" w:rsidRPr="00B254E0">
        <w:rPr>
          <w:b/>
          <w:color w:val="000000"/>
        </w:rPr>
        <w:t>торгов</w:t>
      </w:r>
      <w:r w:rsidR="00FC7902" w:rsidRPr="00B254E0">
        <w:rPr>
          <w:b/>
        </w:rPr>
        <w:t xml:space="preserve"> посредством публичного предложения </w:t>
      </w:r>
      <w:r w:rsidRPr="00B254E0">
        <w:t xml:space="preserve">(сообщение № 2030158164 в газете АО </w:t>
      </w:r>
      <w:r w:rsidRPr="00B254E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254E0">
        <w:instrText xml:space="preserve"> FORMTEXT </w:instrText>
      </w:r>
      <w:r w:rsidRPr="00B254E0">
        <w:fldChar w:fldCharType="separate"/>
      </w:r>
      <w:r w:rsidRPr="00B254E0">
        <w:t>«Коммерсантъ»</w:t>
      </w:r>
      <w:r w:rsidRPr="00B254E0">
        <w:fldChar w:fldCharType="end"/>
      </w:r>
      <w:r w:rsidRPr="00B254E0">
        <w:t xml:space="preserve"> от 08.10.2022г. №187(7388)), </w:t>
      </w:r>
      <w:r w:rsidR="003B783B" w:rsidRPr="00B254E0">
        <w:t>на электронной площадке АО «Российский аукционный дом», по адресу в сети интернет</w:t>
      </w:r>
      <w:proofErr w:type="gramEnd"/>
      <w:r w:rsidR="003B783B" w:rsidRPr="00B254E0">
        <w:t xml:space="preserve">: bankruptcy.lot-online.ru, </w:t>
      </w:r>
      <w:proofErr w:type="gramStart"/>
      <w:r w:rsidR="00FC7902" w:rsidRPr="00B254E0">
        <w:t>проведенных</w:t>
      </w:r>
      <w:proofErr w:type="gramEnd"/>
      <w:r w:rsidR="00FC7902" w:rsidRPr="00B254E0">
        <w:t xml:space="preserve"> в период </w:t>
      </w:r>
      <w:r w:rsidR="00B254E0" w:rsidRPr="00B254E0">
        <w:t>с 02 марта 2023 г. по 08 марта 2023 г.</w:t>
      </w:r>
      <w:r w:rsidRPr="00B254E0">
        <w:t xml:space="preserve">, </w:t>
      </w:r>
      <w:r w:rsidR="00361B5A" w:rsidRPr="00B254E0">
        <w:t>заключе</w:t>
      </w:r>
      <w:r w:rsidRPr="00B254E0">
        <w:t>н</w:t>
      </w:r>
      <w:r w:rsidR="00B254E0" w:rsidRPr="00B254E0">
        <w:t>ы</w:t>
      </w:r>
      <w:r w:rsidR="00361B5A" w:rsidRPr="00B254E0">
        <w:rPr>
          <w:color w:val="000000"/>
        </w:rPr>
        <w:t xml:space="preserve"> следующи</w:t>
      </w:r>
      <w:r w:rsidR="00B254E0" w:rsidRPr="00B254E0">
        <w:rPr>
          <w:color w:val="000000"/>
        </w:rPr>
        <w:t>е</w:t>
      </w:r>
      <w:r w:rsidR="00361B5A" w:rsidRPr="00B254E0">
        <w:rPr>
          <w:color w:val="000000"/>
        </w:rPr>
        <w:t xml:space="preserve"> догово</w:t>
      </w:r>
      <w:r w:rsidRPr="00B254E0">
        <w:t>р</w:t>
      </w:r>
      <w:r w:rsidR="00B254E0" w:rsidRPr="00B254E0">
        <w:t>ы</w:t>
      </w:r>
      <w:r w:rsidR="00361B5A" w:rsidRPr="00B254E0">
        <w:t>:</w:t>
      </w:r>
    </w:p>
    <w:tbl>
      <w:tblPr>
        <w:tblStyle w:val="ae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33"/>
        <w:gridCol w:w="2126"/>
        <w:gridCol w:w="2410"/>
        <w:gridCol w:w="2268"/>
      </w:tblGrid>
      <w:tr w:rsidR="005A15FD" w:rsidRPr="00B254E0" w14:paraId="170B7200" w14:textId="77777777" w:rsidTr="005A15FD">
        <w:trPr>
          <w:jc w:val="center"/>
        </w:trPr>
        <w:tc>
          <w:tcPr>
            <w:tcW w:w="851" w:type="dxa"/>
            <w:shd w:val="clear" w:color="auto" w:fill="E7E6E6" w:themeFill="background2"/>
          </w:tcPr>
          <w:p w14:paraId="1249DEFF" w14:textId="14FF3B35" w:rsidR="005A15FD" w:rsidRPr="00B254E0" w:rsidRDefault="005A15FD" w:rsidP="00CA4602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  <w:sz w:val="24"/>
                <w:szCs w:val="24"/>
              </w:rPr>
            </w:pPr>
            <w:r w:rsidRPr="00B254E0">
              <w:rPr>
                <w:bCs/>
                <w:spacing w:val="3"/>
                <w:sz w:val="24"/>
                <w:szCs w:val="24"/>
              </w:rPr>
              <w:t>Номер лота</w:t>
            </w:r>
          </w:p>
        </w:tc>
        <w:tc>
          <w:tcPr>
            <w:tcW w:w="1833" w:type="dxa"/>
            <w:shd w:val="clear" w:color="auto" w:fill="E7E6E6" w:themeFill="background2"/>
          </w:tcPr>
          <w:p w14:paraId="36FCAAA3" w14:textId="77777777" w:rsidR="005A15FD" w:rsidRPr="00B254E0" w:rsidRDefault="005A15FD" w:rsidP="00CA4602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B254E0">
              <w:rPr>
                <w:bCs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shd w:val="clear" w:color="auto" w:fill="E7E6E6" w:themeFill="background2"/>
          </w:tcPr>
          <w:p w14:paraId="162B0C6E" w14:textId="77777777" w:rsidR="005A15FD" w:rsidRPr="00B254E0" w:rsidRDefault="005A15FD" w:rsidP="00CA4602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B254E0">
              <w:rPr>
                <w:bCs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E7E6E6" w:themeFill="background2"/>
          </w:tcPr>
          <w:p w14:paraId="0C8889F1" w14:textId="77777777" w:rsidR="005A15FD" w:rsidRPr="00B254E0" w:rsidRDefault="005A15FD" w:rsidP="00CA4602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B254E0">
              <w:rPr>
                <w:bCs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E7E6E6" w:themeFill="background2"/>
          </w:tcPr>
          <w:p w14:paraId="6D209BF2" w14:textId="77777777" w:rsidR="005A15FD" w:rsidRPr="00B254E0" w:rsidRDefault="005A15FD" w:rsidP="00CA4602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B254E0">
              <w:rPr>
                <w:bCs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B254E0" w:rsidRPr="00B254E0" w14:paraId="5EEBAEDA" w14:textId="77777777" w:rsidTr="002E5CFF">
        <w:trPr>
          <w:trHeight w:val="546"/>
          <w:jc w:val="center"/>
        </w:trPr>
        <w:tc>
          <w:tcPr>
            <w:tcW w:w="851" w:type="dxa"/>
            <w:vAlign w:val="center"/>
          </w:tcPr>
          <w:p w14:paraId="2D2130CF" w14:textId="1C28C778" w:rsidR="00B254E0" w:rsidRPr="00B254E0" w:rsidRDefault="00B254E0" w:rsidP="00CA46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254E0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833" w:type="dxa"/>
            <w:vMerge w:val="restart"/>
          </w:tcPr>
          <w:p w14:paraId="2012A839" w14:textId="77777777" w:rsidR="00B254E0" w:rsidRDefault="00B254E0" w:rsidP="00CA460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6D5A41A0" w14:textId="5DF5D056" w:rsidR="00B254E0" w:rsidRPr="00B254E0" w:rsidRDefault="00B254E0" w:rsidP="00CA46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254E0">
              <w:rPr>
                <w:sz w:val="24"/>
                <w:szCs w:val="24"/>
              </w:rPr>
              <w:t>2023-2592/01</w:t>
            </w:r>
          </w:p>
        </w:tc>
        <w:tc>
          <w:tcPr>
            <w:tcW w:w="2126" w:type="dxa"/>
            <w:vMerge w:val="restart"/>
          </w:tcPr>
          <w:p w14:paraId="66C9DDF1" w14:textId="77777777" w:rsidR="00B254E0" w:rsidRDefault="00B254E0" w:rsidP="00CA460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3A947B74" w14:textId="3A0D0201" w:rsidR="00B254E0" w:rsidRPr="00B254E0" w:rsidRDefault="00B254E0" w:rsidP="00CA46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bookmarkStart w:id="0" w:name="_GoBack"/>
            <w:bookmarkEnd w:id="0"/>
            <w:r w:rsidRPr="00B254E0">
              <w:rPr>
                <w:sz w:val="24"/>
                <w:szCs w:val="24"/>
              </w:rPr>
              <w:t>14.03.2023</w:t>
            </w:r>
          </w:p>
        </w:tc>
        <w:tc>
          <w:tcPr>
            <w:tcW w:w="2410" w:type="dxa"/>
          </w:tcPr>
          <w:p w14:paraId="6D50F35F" w14:textId="5EA3E5FA" w:rsidR="00B254E0" w:rsidRPr="00B254E0" w:rsidRDefault="00B254E0" w:rsidP="00CA4602">
            <w:pPr>
              <w:jc w:val="center"/>
              <w:rPr>
                <w:b/>
                <w:bCs/>
                <w:spacing w:val="3"/>
              </w:rPr>
            </w:pPr>
            <w:r w:rsidRPr="00B254E0">
              <w:t>70 789,00</w:t>
            </w:r>
          </w:p>
        </w:tc>
        <w:tc>
          <w:tcPr>
            <w:tcW w:w="2268" w:type="dxa"/>
            <w:vMerge w:val="restart"/>
            <w:vAlign w:val="center"/>
          </w:tcPr>
          <w:p w14:paraId="5595625F" w14:textId="59A9F8C1" w:rsidR="00B254E0" w:rsidRPr="00B254E0" w:rsidRDefault="00B254E0" w:rsidP="00CA4602">
            <w:pPr>
              <w:rPr>
                <w:b/>
                <w:bCs/>
                <w:spacing w:val="3"/>
              </w:rPr>
            </w:pPr>
            <w:r w:rsidRPr="00B254E0">
              <w:rPr>
                <w:spacing w:val="3"/>
              </w:rPr>
              <w:t>Шульгин Сергей Михайлович</w:t>
            </w:r>
          </w:p>
        </w:tc>
      </w:tr>
      <w:tr w:rsidR="00B254E0" w:rsidRPr="00B254E0" w14:paraId="29435DF2" w14:textId="77777777" w:rsidTr="0002468E">
        <w:trPr>
          <w:trHeight w:val="546"/>
          <w:jc w:val="center"/>
        </w:trPr>
        <w:tc>
          <w:tcPr>
            <w:tcW w:w="851" w:type="dxa"/>
            <w:vAlign w:val="center"/>
          </w:tcPr>
          <w:p w14:paraId="129FC0F5" w14:textId="34210A93" w:rsidR="00B254E0" w:rsidRPr="00B254E0" w:rsidRDefault="00B254E0" w:rsidP="005A15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254E0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833" w:type="dxa"/>
            <w:vMerge/>
            <w:vAlign w:val="center"/>
          </w:tcPr>
          <w:p w14:paraId="15BA2FBA" w14:textId="77777777" w:rsidR="00B254E0" w:rsidRPr="00B254E0" w:rsidRDefault="00B254E0" w:rsidP="005A15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2C5B94E" w14:textId="77777777" w:rsidR="00B254E0" w:rsidRPr="00B254E0" w:rsidRDefault="00B254E0" w:rsidP="005A15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62AACC" w14:textId="2096A4D7" w:rsidR="00B254E0" w:rsidRPr="00B254E0" w:rsidRDefault="00B254E0" w:rsidP="005A15FD">
            <w:pPr>
              <w:jc w:val="center"/>
              <w:rPr>
                <w:b/>
                <w:bCs/>
                <w:spacing w:val="3"/>
              </w:rPr>
            </w:pPr>
            <w:r w:rsidRPr="00B254E0">
              <w:t>77 789,00</w:t>
            </w:r>
          </w:p>
        </w:tc>
        <w:tc>
          <w:tcPr>
            <w:tcW w:w="2268" w:type="dxa"/>
            <w:vMerge/>
            <w:vAlign w:val="center"/>
          </w:tcPr>
          <w:p w14:paraId="623F1632" w14:textId="77777777" w:rsidR="00B254E0" w:rsidRPr="00B254E0" w:rsidRDefault="00B254E0" w:rsidP="005A15FD">
            <w:pPr>
              <w:rPr>
                <w:b/>
                <w:bCs/>
                <w:spacing w:val="3"/>
              </w:rPr>
            </w:pPr>
          </w:p>
        </w:tc>
      </w:tr>
    </w:tbl>
    <w:p w14:paraId="42B0BC4A" w14:textId="77777777" w:rsidR="007444C0" w:rsidRPr="00FC7902" w:rsidRDefault="007444C0" w:rsidP="005A15FD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A15F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254E0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A15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A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A15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A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2023-03-14T09:47:00Z</dcterms:modified>
</cp:coreProperties>
</file>