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er7.xml" ContentType="application/vnd.openxmlformats-officedocument.wordprocessingml.footer+xml"/>
  <Override PartName="/word/theme/theme1.xml" ContentType="application/vnd.openxmlformats-officedocument.theme+xml"/>
  <Override PartName="/word/footer5.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media/image9.wmf" ContentType="image/x-wmf"/>
  <Override PartName="/word/media/image10.wmf" ContentType="image/x-wmf"/>
  <Override PartName="/word/media/image8.wmf" ContentType="image/x-wmf"/>
  <Override PartName="/word/media/image4.wmf" ContentType="image/x-wmf"/>
  <Override PartName="/word/media/image11.wmf" ContentType="image/x-wmf"/>
  <Override PartName="/word/media/image6.wmf" ContentType="image/x-wmf"/>
  <Override PartName="/word/media/image12.wmf" ContentType="image/x-wmf"/>
  <Override PartName="/word/media/image7.wmf" ContentType="image/x-wmf"/>
  <Override PartName="/word/media/image13.wmf" ContentType="image/x-wmf"/>
  <Override PartName="/word/media/image3.wmf" ContentType="image/x-wmf"/>
  <Override PartName="/word/media/image2.wmf" ContentType="image/x-wmf"/>
  <Override PartName="/word/media/image1.wmf" ContentType="image/x-wmf"/>
  <Override PartName="/word/media/image5.wmf" ContentType="image/x-wmf"/>
  <Override PartName="/word/styles.xml" ContentType="application/vnd.openxmlformats-officedocument.wordprocessingml.styles+xml"/>
  <Override PartName="/word/footer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right"/>
        <w:rPr>
          <w:sz w:val="24"/>
        </w:rPr>
      </w:pPr>
      <w:r>
        <w:rPr/>
      </w:r>
    </w:p>
    <w:p>
      <w:pPr>
        <w:pStyle w:val="Normal"/>
        <w:spacing w:before="0" w:after="0"/>
        <w:jc w:val="right"/>
        <w:rPr>
          <w:sz w:val="24"/>
        </w:rPr>
      </w:pPr>
      <w:r>
        <w:rPr/>
      </w:r>
    </w:p>
    <w:p>
      <w:pPr>
        <w:pStyle w:val="Normal"/>
        <w:spacing w:before="0" w:after="0"/>
        <w:jc w:val="right"/>
        <w:rPr>
          <w:sz w:val="24"/>
        </w:rPr>
      </w:pPr>
      <w:r>
        <w:rPr/>
      </w:r>
    </w:p>
    <w:p>
      <w:pPr>
        <w:pStyle w:val="Normal"/>
        <w:spacing w:before="0" w:after="0"/>
        <w:jc w:val="right"/>
        <w:rPr>
          <w:sz w:val="24"/>
        </w:rPr>
      </w:pPr>
      <w:r>
        <w:rPr/>
      </w:r>
    </w:p>
    <w:p>
      <w:pPr>
        <w:pStyle w:val="Normal"/>
        <w:spacing w:before="0" w:after="0"/>
        <w:ind w:left="4395" w:hanging="11"/>
        <w:jc w:val="right"/>
        <w:rPr>
          <w:sz w:val="24"/>
          <w:szCs w:val="28"/>
        </w:rPr>
      </w:pPr>
      <w:r>
        <w:rPr>
          <w:sz w:val="24"/>
          <w:szCs w:val="28"/>
        </w:rPr>
      </w:r>
    </w:p>
    <w:p>
      <w:pPr>
        <w:pStyle w:val="Normal"/>
        <w:spacing w:before="0" w:after="0"/>
        <w:ind w:left="4395" w:hanging="11"/>
        <w:jc w:val="right"/>
        <w:rPr>
          <w:sz w:val="24"/>
          <w:szCs w:val="28"/>
        </w:rPr>
      </w:pPr>
      <w:r>
        <w:rPr>
          <w:sz w:val="24"/>
          <w:szCs w:val="28"/>
        </w:rPr>
      </w:r>
    </w:p>
    <w:p>
      <w:pPr>
        <w:pStyle w:val="Normal"/>
        <w:ind w:left="3424" w:hanging="11"/>
        <w:jc w:val="center"/>
        <w:rPr/>
      </w:pPr>
      <w:r>
        <w:rPr/>
      </w:r>
      <w:bookmarkStart w:id="0" w:name="_GoBack"/>
      <w:bookmarkStart w:id="1" w:name="_GoBack"/>
      <w:bookmarkEnd w:id="1"/>
    </w:p>
    <w:p>
      <w:pPr>
        <w:pStyle w:val="Normal"/>
        <w:rPr/>
      </w:pPr>
      <w:r>
        <w:rPr/>
      </w:r>
    </w:p>
    <w:p>
      <w:pPr>
        <w:pStyle w:val="Normal"/>
        <w:numPr>
          <w:ilvl w:val="0"/>
          <w:numId w:val="0"/>
        </w:numPr>
        <w:spacing w:before="480" w:after="0"/>
        <w:jc w:val="center"/>
        <w:outlineLvl w:val="4"/>
        <w:rPr>
          <w:b/>
          <w:b/>
          <w:sz w:val="36"/>
        </w:rPr>
      </w:pPr>
      <w:bookmarkStart w:id="2" w:name="_Toc518119232"/>
      <w:r>
        <w:rPr>
          <w:b/>
          <w:sz w:val="36"/>
        </w:rPr>
        <w:t>ДОКУМЕНТАЦИЯ</w:t>
      </w:r>
      <w:bookmarkEnd w:id="2"/>
    </w:p>
    <w:p>
      <w:pPr>
        <w:pStyle w:val="Normal"/>
        <w:numPr>
          <w:ilvl w:val="0"/>
          <w:numId w:val="0"/>
        </w:numPr>
        <w:spacing w:before="0" w:after="0"/>
        <w:jc w:val="center"/>
        <w:outlineLvl w:val="4"/>
        <w:rPr>
          <w:b/>
          <w:b/>
          <w:sz w:val="32"/>
          <w:szCs w:val="32"/>
        </w:rPr>
      </w:pPr>
      <w:r>
        <w:rPr>
          <w:b/>
          <w:sz w:val="32"/>
          <w:szCs w:val="32"/>
        </w:rPr>
        <w:t>о продаже имущества ПАО «РусГидро»</w:t>
      </w:r>
    </w:p>
    <w:p>
      <w:pPr>
        <w:pStyle w:val="Normal"/>
        <w:numPr>
          <w:ilvl w:val="0"/>
          <w:numId w:val="0"/>
        </w:numPr>
        <w:spacing w:before="0" w:after="0"/>
        <w:jc w:val="center"/>
        <w:outlineLvl w:val="4"/>
        <w:rPr>
          <w:sz w:val="28"/>
          <w:szCs w:val="28"/>
        </w:rPr>
      </w:pPr>
      <w:r>
        <w:rPr>
          <w:sz w:val="28"/>
          <w:szCs w:val="28"/>
        </w:rPr>
        <w:t>находящегося на балансе Филиала ПАО «РусГидро» - «Каскад Кубанских ГЭС»</w:t>
      </w:r>
    </w:p>
    <w:p>
      <w:pPr>
        <w:pStyle w:val="Normal"/>
        <w:numPr>
          <w:ilvl w:val="0"/>
          <w:numId w:val="0"/>
        </w:numPr>
        <w:spacing w:before="0" w:after="0"/>
        <w:jc w:val="center"/>
        <w:outlineLvl w:val="4"/>
        <w:rPr>
          <w:sz w:val="28"/>
          <w:szCs w:val="28"/>
        </w:rPr>
      </w:pPr>
      <w:r>
        <w:rPr>
          <w:sz w:val="28"/>
          <w:szCs w:val="28"/>
        </w:rPr>
      </w:r>
    </w:p>
    <w:p>
      <w:pPr>
        <w:pStyle w:val="Normal"/>
        <w:jc w:val="center"/>
        <w:rPr/>
      </w:pPr>
      <w:r>
        <w:rPr/>
        <w:t>ПРОДАЖА БЕЗ ОБЪЯВЛЕНИЯ ЦЕНЫ НА ПРАВО ЗАКЛЮЧЕНИЯ ДОГОВОРА КУПЛИ-ПРОДАЖИ СКЛАДА СМЕШАННЫХ ТОВАРОВ, ПЛОЩАДЬ 406,8 КВ.М, КАДАСТРОВЫЙ НОМЕР 09:02:0000000:15694 И ЧАСТИ ЗДАНИЯ – СКЛАД, ПЛОЩАДЬ 22,9 КВ.М, КАДАСТРОВЫЙ НОМЕР 09:02:0310101:592, РАСПОЛОЖЕННЫХ ПО АДРЕСУ:</w:t>
      </w:r>
    </w:p>
    <w:p>
      <w:pPr>
        <w:pStyle w:val="Normal"/>
        <w:numPr>
          <w:ilvl w:val="0"/>
          <w:numId w:val="0"/>
        </w:numPr>
        <w:spacing w:before="0" w:after="0"/>
        <w:jc w:val="center"/>
        <w:outlineLvl w:val="4"/>
        <w:rPr/>
      </w:pPr>
      <w:r>
        <w:rPr/>
        <w:t>КАРАЧАЕВО-ЧЕРКЕССКАЯ РЕСПУБЛИКА, ПРИКУБАНСКИЙ Р-Н, П. УДАРНЫЙ, УЛ. МОЛОДЕЖНАЯ, Д 11.</w:t>
        <w:b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rPr/>
      </w:pPr>
      <w:r>
        <w:rPr/>
      </w:r>
    </w:p>
    <w:p>
      <w:pPr>
        <w:pStyle w:val="Normal"/>
        <w:rPr/>
      </w:pPr>
      <w:r>
        <w:rPr/>
      </w:r>
    </w:p>
    <w:p>
      <w:pPr>
        <w:pStyle w:val="Normal"/>
        <w:rPr/>
      </w:pPr>
      <w:r>
        <w:rPr/>
      </w:r>
    </w:p>
    <w:p>
      <w:pPr>
        <w:pStyle w:val="Normal"/>
        <w:rPr/>
      </w:pPr>
      <w:r>
        <w:rPr/>
      </w:r>
      <w:r>
        <w:br w:type="page"/>
      </w:r>
    </w:p>
    <w:p>
      <w:pPr>
        <w:pStyle w:val="Normal"/>
        <w:numPr>
          <w:ilvl w:val="0"/>
          <w:numId w:val="0"/>
        </w:numPr>
        <w:spacing w:before="480" w:after="360"/>
        <w:jc w:val="center"/>
        <w:outlineLvl w:val="4"/>
        <w:rPr>
          <w:b/>
          <w:b/>
          <w:sz w:val="28"/>
        </w:rPr>
      </w:pPr>
      <w:r>
        <w:rPr>
          <w:b/>
          <w:sz w:val="28"/>
        </w:rPr>
        <w:t>СОДЕРЖАНИЕ</w:t>
      </w:r>
    </w:p>
    <w:sdt>
      <w:sdtPr>
        <w:docPartObj>
          <w:docPartGallery w:val="Table of Contents"/>
          <w:docPartUnique w:val="true"/>
        </w:docPartObj>
      </w:sdtPr>
      <w:sdtContent>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r>
            <w:fldChar w:fldCharType="begin"/>
          </w:r>
          <w:r>
            <w:rPr>
              <w:webHidden/>
            </w:rPr>
            <w:instrText xml:space="preserve"> TOC \z \o "1-2" \h</w:instrText>
          </w:r>
          <w:r>
            <w:rPr>
              <w:webHidden/>
            </w:rPr>
            <w:fldChar w:fldCharType="separate"/>
          </w:r>
          <w:hyperlink w:anchor="_Toc536798387">
            <w:r>
              <w:rPr>
                <w:webHidden/>
              </w:rPr>
              <w:t>СОКРАЩЕНИЯ</w:t>
            </w:r>
            <w:r>
              <w:rPr>
                <w:webHidden/>
              </w:rPr>
              <w:fldChar w:fldCharType="begin"/>
            </w:r>
            <w:r>
              <w:rPr>
                <w:webHidden/>
              </w:rPr>
              <w:instrText xml:space="preserve">PAGEREF _Toc536798387 \h</w:instrText>
            </w:r>
            <w:r>
              <w:rPr>
                <w:webHidden/>
              </w:rPr>
              <w:fldChar w:fldCharType="separate"/>
            </w:r>
            <w:r>
              <w:rPr>
                <w:vanish w:val="false"/>
              </w:rPr>
              <w:tab/>
              <w:t>7</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88">
            <w:r>
              <w:rPr>
                <w:webHidden/>
              </w:rPr>
              <w:t>ТЕРМИНЫ И ОПРЕДЕЛЕНИЯ</w:t>
            </w:r>
            <w:r>
              <w:rPr>
                <w:webHidden/>
              </w:rPr>
              <w:fldChar w:fldCharType="begin"/>
            </w:r>
            <w:r>
              <w:rPr>
                <w:webHidden/>
              </w:rPr>
              <w:instrText xml:space="preserve">PAGEREF _Toc536798388 \h</w:instrText>
            </w:r>
            <w:r>
              <w:rPr>
                <w:webHidden/>
              </w:rPr>
              <w:fldChar w:fldCharType="separate"/>
            </w:r>
            <w:r>
              <w:rPr>
                <w:vanish w:val="false"/>
              </w:rPr>
              <w:tab/>
              <w:t>8</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89">
            <w:r>
              <w:rPr>
                <w:webHidden/>
              </w:rPr>
              <w:t>1.</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ОСНОВНЫЕ СВЕДЕНИЯ О ПРОДАЖЕ</w:t>
            </w:r>
            <w:r>
              <w:rPr>
                <w:webHidden/>
              </w:rPr>
              <w:fldChar w:fldCharType="begin"/>
            </w:r>
            <w:r>
              <w:rPr>
                <w:webHidden/>
              </w:rPr>
              <w:instrText xml:space="preserve">PAGEREF _Toc536798389 \h</w:instrText>
            </w:r>
            <w:r>
              <w:rPr>
                <w:webHidden/>
              </w:rPr>
              <w:fldChar w:fldCharType="separate"/>
            </w:r>
            <w:r>
              <w:rPr>
                <w:vanish w:val="false"/>
              </w:rPr>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90">
            <w:r>
              <w:rPr>
                <w:webHidden/>
              </w:rPr>
              <w:t>1.1</w:t>
            </w:r>
            <w:r>
              <w:rPr>
                <w:rFonts w:eastAsia="ＭＳ 明朝" w:cs="Arial" w:ascii="Calibri" w:hAnsi="Calibri" w:asciiTheme="minorHAnsi" w:cstheme="minorBidi" w:eastAsiaTheme="minorEastAsia" w:hAnsiTheme="minorHAnsi"/>
                <w:b w:val="false"/>
                <w:sz w:val="22"/>
                <w:szCs w:val="22"/>
                <w:lang w:val="ru-RU"/>
              </w:rPr>
              <w:tab/>
            </w:r>
            <w:r>
              <w:rPr/>
              <w:t>Статус настоящего раздела</w:t>
            </w:r>
            <w:r>
              <w:rPr>
                <w:webHidden/>
              </w:rPr>
              <w:fldChar w:fldCharType="begin"/>
            </w:r>
            <w:r>
              <w:rPr>
                <w:webHidden/>
              </w:rPr>
              <w:instrText xml:space="preserve">PAGEREF _Toc536798390 \h</w:instrText>
            </w:r>
            <w:r>
              <w:rPr>
                <w:webHidden/>
              </w:rPr>
              <w:fldChar w:fldCharType="separate"/>
            </w:r>
            <w:r>
              <w:rPr>
                <w:vanish w:val="false"/>
              </w:rPr>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91">
            <w:r>
              <w:rPr>
                <w:webHidden/>
              </w:rPr>
              <w:t>1.2</w:t>
            </w:r>
            <w:r>
              <w:rPr>
                <w:rFonts w:eastAsia="ＭＳ 明朝" w:cs="Arial" w:ascii="Calibri" w:hAnsi="Calibri" w:asciiTheme="minorHAnsi" w:cstheme="minorBidi" w:eastAsiaTheme="minorEastAsia" w:hAnsiTheme="minorHAnsi"/>
                <w:b w:val="false"/>
                <w:sz w:val="22"/>
                <w:szCs w:val="22"/>
                <w:lang w:val="ru-RU"/>
              </w:rPr>
              <w:tab/>
            </w:r>
            <w:r>
              <w:rPr/>
              <w:t>Информация о проводимом Запросе предложений</w:t>
            </w:r>
            <w:r>
              <w:rPr>
                <w:webHidden/>
              </w:rPr>
              <w:fldChar w:fldCharType="begin"/>
            </w:r>
            <w:r>
              <w:rPr>
                <w:webHidden/>
              </w:rPr>
              <w:instrText xml:space="preserve">PAGEREF _Toc536798391 \h</w:instrText>
            </w:r>
            <w:r>
              <w:rPr>
                <w:webHidden/>
              </w:rPr>
              <w:fldChar w:fldCharType="separate"/>
            </w:r>
            <w:r>
              <w:rPr>
                <w:vanish w:val="false"/>
              </w:rPr>
              <w:tab/>
              <w:t>9</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92">
            <w:r>
              <w:rPr>
                <w:webHidden/>
              </w:rPr>
              <w:t>2.</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ОБЩИЕ ПОЛОЖЕНИЯ</w:t>
            </w:r>
            <w:r>
              <w:rPr>
                <w:webHidden/>
              </w:rPr>
              <w:fldChar w:fldCharType="begin"/>
            </w:r>
            <w:r>
              <w:rPr>
                <w:webHidden/>
              </w:rPr>
              <w:instrText xml:space="preserve">PAGEREF _Toc536798392 \h</w:instrText>
            </w:r>
            <w:r>
              <w:rPr>
                <w:webHidden/>
              </w:rPr>
              <w:fldChar w:fldCharType="separate"/>
            </w:r>
            <w:r>
              <w:rPr>
                <w:vanish w:val="false"/>
              </w:rPr>
              <w:tab/>
              <w:t>12</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93">
            <w:r>
              <w:rPr>
                <w:webHidden/>
              </w:rPr>
              <w:t>2.1</w:t>
            </w:r>
            <w:r>
              <w:rPr>
                <w:rFonts w:eastAsia="ＭＳ 明朝" w:cs="Arial" w:ascii="Calibri" w:hAnsi="Calibri" w:asciiTheme="minorHAnsi" w:cstheme="minorBidi" w:eastAsiaTheme="minorEastAsia" w:hAnsiTheme="minorHAnsi"/>
                <w:b w:val="false"/>
                <w:sz w:val="22"/>
                <w:szCs w:val="22"/>
                <w:lang w:val="ru-RU"/>
              </w:rPr>
              <w:tab/>
            </w:r>
            <w:r>
              <w:rPr/>
              <w:t>Общие сведения о продаже</w:t>
            </w:r>
            <w:r>
              <w:rPr>
                <w:webHidden/>
              </w:rPr>
              <w:fldChar w:fldCharType="begin"/>
            </w:r>
            <w:r>
              <w:rPr>
                <w:webHidden/>
              </w:rPr>
              <w:instrText xml:space="preserve">PAGEREF _Toc536798393 \h</w:instrText>
            </w:r>
            <w:r>
              <w:rPr>
                <w:webHidden/>
              </w:rPr>
              <w:fldChar w:fldCharType="separate"/>
            </w:r>
            <w:r>
              <w:rPr>
                <w:vanish w:val="false"/>
              </w:rPr>
              <w:tab/>
              <w:t>12</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94">
            <w:r>
              <w:rPr>
                <w:webHidden/>
              </w:rPr>
              <w:t>2.2</w:t>
            </w:r>
            <w:r>
              <w:rPr>
                <w:rFonts w:eastAsia="ＭＳ 明朝" w:cs="Arial" w:ascii="Calibri" w:hAnsi="Calibri" w:asciiTheme="minorHAnsi" w:cstheme="minorBidi" w:eastAsiaTheme="minorEastAsia" w:hAnsiTheme="minorHAnsi"/>
                <w:b w:val="false"/>
                <w:sz w:val="22"/>
                <w:szCs w:val="22"/>
                <w:lang w:val="ru-RU"/>
              </w:rPr>
              <w:tab/>
            </w:r>
            <w:r>
              <w:rPr/>
              <w:t>Правовой статус документов</w:t>
            </w:r>
            <w:r>
              <w:rPr>
                <w:webHidden/>
              </w:rPr>
              <w:fldChar w:fldCharType="begin"/>
            </w:r>
            <w:r>
              <w:rPr>
                <w:webHidden/>
              </w:rPr>
              <w:instrText xml:space="preserve">PAGEREF _Toc536798394 \h</w:instrText>
            </w:r>
            <w:r>
              <w:rPr>
                <w:webHidden/>
              </w:rPr>
              <w:fldChar w:fldCharType="separate"/>
            </w:r>
            <w:r>
              <w:rPr>
                <w:vanish w:val="false"/>
              </w:rPr>
              <w:tab/>
              <w:t>12</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95">
            <w:r>
              <w:rPr>
                <w:webHidden/>
              </w:rPr>
              <w:t>2.3</w:t>
            </w:r>
            <w:r>
              <w:rPr>
                <w:rFonts w:eastAsia="ＭＳ 明朝" w:cs="Arial" w:ascii="Calibri" w:hAnsi="Calibri" w:asciiTheme="minorHAnsi" w:cstheme="minorBidi" w:eastAsiaTheme="minorEastAsia" w:hAnsiTheme="minorHAnsi"/>
                <w:b w:val="false"/>
                <w:sz w:val="22"/>
                <w:szCs w:val="22"/>
                <w:lang w:val="ru-RU"/>
              </w:rPr>
              <w:tab/>
            </w:r>
            <w:r>
              <w:rPr/>
              <w:t>Особые положения при проведении Запроса предложений с использованием ЭТП</w:t>
            </w:r>
            <w:r>
              <w:rPr>
                <w:webHidden/>
              </w:rPr>
              <w:fldChar w:fldCharType="begin"/>
            </w:r>
            <w:r>
              <w:rPr>
                <w:webHidden/>
              </w:rPr>
              <w:instrText xml:space="preserve">PAGEREF _Toc536798395 \h</w:instrText>
            </w:r>
            <w:r>
              <w:rPr>
                <w:webHidden/>
              </w:rPr>
              <w:fldChar w:fldCharType="separate"/>
            </w:r>
            <w:r>
              <w:rPr>
                <w:vanish w:val="false"/>
              </w:rPr>
              <w:tab/>
              <w:t>12</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96">
            <w:r>
              <w:rPr>
                <w:webHidden/>
              </w:rPr>
              <w:t>2.4</w:t>
            </w:r>
            <w:r>
              <w:rPr>
                <w:rFonts w:eastAsia="ＭＳ 明朝" w:cs="Arial" w:ascii="Calibri" w:hAnsi="Calibri" w:asciiTheme="minorHAnsi" w:cstheme="minorBidi" w:eastAsiaTheme="minorEastAsia" w:hAnsiTheme="minorHAnsi"/>
                <w:b w:val="false"/>
                <w:sz w:val="22"/>
                <w:szCs w:val="22"/>
                <w:lang w:val="ru-RU"/>
              </w:rPr>
              <w:tab/>
            </w:r>
            <w:r>
              <w:rPr/>
              <w:t>Прочие положения</w:t>
            </w:r>
            <w:r>
              <w:rPr>
                <w:webHidden/>
              </w:rPr>
              <w:fldChar w:fldCharType="begin"/>
            </w:r>
            <w:r>
              <w:rPr>
                <w:webHidden/>
              </w:rPr>
              <w:instrText xml:space="preserve">PAGEREF _Toc536798396 \h</w:instrText>
            </w:r>
            <w:r>
              <w:rPr>
                <w:webHidden/>
              </w:rPr>
              <w:fldChar w:fldCharType="separate"/>
            </w:r>
            <w:r>
              <w:rPr>
                <w:vanish w:val="false"/>
              </w:rPr>
              <w:tab/>
              <w:t>13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97">
            <w:r>
              <w:rPr>
                <w:webHidden/>
              </w:rPr>
              <w:t>3.</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ПРЕДМЕТ ПРОДАЖИ</w:t>
            </w:r>
            <w:r>
              <w:rPr>
                <w:webHidden/>
              </w:rPr>
              <w:fldChar w:fldCharType="begin"/>
            </w:r>
            <w:r>
              <w:rPr>
                <w:webHidden/>
              </w:rPr>
              <w:instrText xml:space="preserve">PAGEREF _Toc536798397 \h</w:instrText>
            </w:r>
            <w:r>
              <w:rPr>
                <w:webHidden/>
              </w:rPr>
              <w:fldChar w:fldCharType="separate"/>
            </w:r>
            <w:r>
              <w:rPr>
                <w:vanish w:val="false"/>
              </w:rPr>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98">
            <w:r>
              <w:rPr>
                <w:webHidden/>
              </w:rPr>
              <w:t>3.1</w:t>
            </w:r>
            <w:r>
              <w:rPr>
                <w:rFonts w:eastAsia="ＭＳ 明朝" w:cs="Arial" w:ascii="Calibri" w:hAnsi="Calibri" w:asciiTheme="minorHAnsi" w:cstheme="minorBidi" w:eastAsiaTheme="minorEastAsia" w:hAnsiTheme="minorHAnsi"/>
                <w:b w:val="false"/>
                <w:sz w:val="22"/>
                <w:szCs w:val="22"/>
                <w:lang w:val="ru-RU"/>
              </w:rPr>
              <w:tab/>
            </w:r>
            <w:r>
              <w:rPr/>
              <w:t>Информация о предмете продажи</w:t>
            </w:r>
            <w:r>
              <w:rPr>
                <w:webHidden/>
              </w:rPr>
              <w:fldChar w:fldCharType="begin"/>
            </w:r>
            <w:r>
              <w:rPr>
                <w:webHidden/>
              </w:rPr>
              <w:instrText xml:space="preserve">PAGEREF _Toc536798398 \h</w:instrText>
            </w:r>
            <w:r>
              <w:rPr>
                <w:webHidden/>
              </w:rPr>
              <w:fldChar w:fldCharType="separate"/>
            </w:r>
            <w:r>
              <w:rPr>
                <w:vanish w:val="false"/>
              </w:rPr>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99">
            <w:r>
              <w:rPr>
                <w:webHidden/>
              </w:rPr>
              <w:t>3.2</w:t>
            </w:r>
            <w:r>
              <w:rPr>
                <w:rFonts w:eastAsia="ＭＳ 明朝" w:cs="Arial" w:ascii="Calibri" w:hAnsi="Calibri" w:asciiTheme="minorHAnsi" w:cstheme="minorBidi" w:eastAsiaTheme="minorEastAsia" w:hAnsiTheme="minorHAnsi"/>
                <w:b w:val="false"/>
                <w:sz w:val="22"/>
                <w:szCs w:val="22"/>
                <w:lang w:val="ru-RU"/>
              </w:rPr>
              <w:tab/>
            </w:r>
            <w:r>
              <w:rPr/>
              <w:t>Порядок ознакомления с предметом продажи</w:t>
            </w:r>
            <w:r>
              <w:rPr>
                <w:webHidden/>
              </w:rPr>
              <w:fldChar w:fldCharType="begin"/>
            </w:r>
            <w:r>
              <w:rPr>
                <w:webHidden/>
              </w:rPr>
              <w:instrText xml:space="preserve">PAGEREF _Toc536798399 \h</w:instrText>
            </w:r>
            <w:r>
              <w:rPr>
                <w:webHidden/>
              </w:rPr>
              <w:fldChar w:fldCharType="separate"/>
            </w:r>
            <w:r>
              <w:rPr>
                <w:vanish w:val="false"/>
              </w:rPr>
              <w:tab/>
              <w:t>14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00">
            <w:r>
              <w:rPr>
                <w:webHidden/>
              </w:rPr>
              <w:t>4.</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ТРЕБОВАНИЯ К УЧАСТНИКАМ ЗАПРОСА ПРЕДЛОЖЕНИЙ</w:t>
            </w:r>
            <w:r>
              <w:rPr>
                <w:webHidden/>
              </w:rPr>
              <w:fldChar w:fldCharType="begin"/>
            </w:r>
            <w:r>
              <w:rPr>
                <w:webHidden/>
              </w:rPr>
              <w:instrText xml:space="preserve">PAGEREF _Toc536798400 \h</w:instrText>
            </w:r>
            <w:r>
              <w:rPr>
                <w:webHidden/>
              </w:rPr>
              <w:fldChar w:fldCharType="separate"/>
            </w:r>
            <w:r>
              <w:rPr>
                <w:vanish w:val="false"/>
              </w:rPr>
              <w:tab/>
              <w:t>16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01">
            <w:r>
              <w:rPr>
                <w:webHidden/>
              </w:rPr>
              <w:t>4.1</w:t>
            </w:r>
            <w:r>
              <w:rPr>
                <w:rFonts w:eastAsia="ＭＳ 明朝" w:cs="Arial" w:ascii="Calibri" w:hAnsi="Calibri" w:asciiTheme="minorHAnsi" w:cstheme="minorBidi" w:eastAsiaTheme="minorEastAsia" w:hAnsiTheme="minorHAnsi"/>
                <w:b w:val="false"/>
                <w:sz w:val="22"/>
                <w:szCs w:val="22"/>
                <w:lang w:val="ru-RU"/>
              </w:rPr>
              <w:tab/>
            </w:r>
            <w:r>
              <w:rPr/>
              <w:t>Требования к Участникам Запроса предложений</w:t>
            </w:r>
            <w:r>
              <w:rPr>
                <w:webHidden/>
              </w:rPr>
              <w:fldChar w:fldCharType="begin"/>
            </w:r>
            <w:r>
              <w:rPr>
                <w:webHidden/>
              </w:rPr>
              <w:instrText xml:space="preserve">PAGEREF _Toc536798401 \h</w:instrText>
            </w:r>
            <w:r>
              <w:rPr>
                <w:webHidden/>
              </w:rPr>
              <w:fldChar w:fldCharType="separate"/>
            </w:r>
            <w:r>
              <w:rPr>
                <w:vanish w:val="false"/>
              </w:rPr>
              <w:tab/>
              <w:t>16</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02">
            <w:r>
              <w:rPr>
                <w:webHidden/>
              </w:rPr>
              <w:t>5.</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ПОРЯДОК ПРОВЕДЕНИЯ ЗАПРОСА ПРЕДЛОЖЕНИЙ. ИНСТРУКЦИИ ПО ПОДГОТОВКЕ ЗАЯВОК</w:t>
            </w:r>
            <w:r>
              <w:rPr>
                <w:webHidden/>
              </w:rPr>
              <w:fldChar w:fldCharType="begin"/>
            </w:r>
            <w:r>
              <w:rPr>
                <w:webHidden/>
              </w:rPr>
              <w:instrText xml:space="preserve">PAGEREF _Toc536798402 \h</w:instrText>
            </w:r>
            <w:r>
              <w:rPr>
                <w:webHidden/>
              </w:rPr>
              <w:fldChar w:fldCharType="separate"/>
            </w:r>
            <w:r>
              <w:rPr>
                <w:vanish w:val="false"/>
              </w:rPr>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03">
            <w:r>
              <w:rPr>
                <w:webHidden/>
              </w:rPr>
              <w:t>5.1</w:t>
            </w:r>
            <w:r>
              <w:rPr>
                <w:rFonts w:eastAsia="ＭＳ 明朝" w:cs="Arial" w:ascii="Calibri" w:hAnsi="Calibri" w:asciiTheme="minorHAnsi" w:cstheme="minorBidi" w:eastAsiaTheme="minorEastAsia" w:hAnsiTheme="minorHAnsi"/>
                <w:b w:val="false"/>
                <w:sz w:val="22"/>
                <w:szCs w:val="22"/>
                <w:lang w:val="ru-RU"/>
              </w:rPr>
              <w:tab/>
            </w:r>
            <w:r>
              <w:rPr/>
              <w:t>Общий порядок проведения Запроса предложений</w:t>
            </w:r>
            <w:r>
              <w:rPr>
                <w:webHidden/>
              </w:rPr>
              <w:fldChar w:fldCharType="begin"/>
            </w:r>
            <w:r>
              <w:rPr>
                <w:webHidden/>
              </w:rPr>
              <w:instrText xml:space="preserve">PAGEREF _Toc536798403 \h</w:instrText>
            </w:r>
            <w:r>
              <w:rPr>
                <w:webHidden/>
              </w:rPr>
              <w:fldChar w:fldCharType="separate"/>
            </w:r>
            <w:r>
              <w:rPr>
                <w:vanish w:val="false"/>
              </w:rPr>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04">
            <w:r>
              <w:rPr>
                <w:webHidden/>
              </w:rPr>
              <w:t>5.2</w:t>
            </w:r>
            <w:r>
              <w:rPr>
                <w:rFonts w:eastAsia="ＭＳ 明朝" w:cs="Arial" w:ascii="Calibri" w:hAnsi="Calibri" w:asciiTheme="minorHAnsi" w:cstheme="minorBidi" w:eastAsiaTheme="minorEastAsia" w:hAnsiTheme="minorHAnsi"/>
                <w:b w:val="false"/>
                <w:sz w:val="22"/>
                <w:szCs w:val="22"/>
                <w:lang w:val="ru-RU"/>
              </w:rPr>
              <w:tab/>
            </w:r>
            <w:r>
              <w:rPr/>
              <w:t>Официальное размещение Извещения и Документации о продаже</w:t>
            </w:r>
            <w:r>
              <w:rPr>
                <w:webHidden/>
              </w:rPr>
              <w:fldChar w:fldCharType="begin"/>
            </w:r>
            <w:r>
              <w:rPr>
                <w:webHidden/>
              </w:rPr>
              <w:instrText xml:space="preserve">PAGEREF _Toc536798404 \h</w:instrText>
            </w:r>
            <w:r>
              <w:rPr>
                <w:webHidden/>
              </w:rPr>
              <w:fldChar w:fldCharType="separate"/>
            </w:r>
            <w:r>
              <w:rPr>
                <w:vanish w:val="false"/>
              </w:rPr>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05">
            <w:r>
              <w:rPr>
                <w:webHidden/>
              </w:rPr>
              <w:t>5.3</w:t>
            </w:r>
            <w:r>
              <w:rPr>
                <w:rFonts w:eastAsia="ＭＳ 明朝" w:cs="Arial" w:ascii="Calibri" w:hAnsi="Calibri" w:asciiTheme="minorHAnsi" w:cstheme="minorBidi" w:eastAsiaTheme="minorEastAsia" w:hAnsiTheme="minorHAnsi"/>
                <w:b w:val="false"/>
                <w:sz w:val="22"/>
                <w:szCs w:val="22"/>
                <w:lang w:val="ru-RU"/>
              </w:rPr>
              <w:tab/>
            </w:r>
            <w:r>
              <w:rPr/>
              <w:t>Разъяснение Документации о продаже</w:t>
            </w:r>
            <w:r>
              <w:rPr>
                <w:webHidden/>
              </w:rPr>
              <w:fldChar w:fldCharType="begin"/>
            </w:r>
            <w:r>
              <w:rPr>
                <w:webHidden/>
              </w:rPr>
              <w:instrText xml:space="preserve">PAGEREF _Toc536798405 \h</w:instrText>
            </w:r>
            <w:r>
              <w:rPr>
                <w:webHidden/>
              </w:rPr>
              <w:fldChar w:fldCharType="separate"/>
            </w:r>
            <w:r>
              <w:rPr>
                <w:vanish w:val="false"/>
              </w:rPr>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06">
            <w:r>
              <w:rPr>
                <w:webHidden/>
              </w:rPr>
              <w:t>5.4</w:t>
            </w:r>
            <w:r>
              <w:rPr>
                <w:rFonts w:eastAsia="ＭＳ 明朝" w:cs="Arial" w:ascii="Calibri" w:hAnsi="Calibri" w:asciiTheme="minorHAnsi" w:cstheme="minorBidi" w:eastAsiaTheme="minorEastAsia" w:hAnsiTheme="minorHAnsi"/>
                <w:b w:val="false"/>
                <w:sz w:val="22"/>
                <w:szCs w:val="22"/>
                <w:lang w:val="ru-RU"/>
              </w:rPr>
              <w:tab/>
            </w:r>
            <w:r>
              <w:rPr/>
              <w:t>Изменения Документации о продаже</w:t>
            </w:r>
            <w:r>
              <w:rPr>
                <w:webHidden/>
              </w:rPr>
              <w:fldChar w:fldCharType="begin"/>
            </w:r>
            <w:r>
              <w:rPr>
                <w:webHidden/>
              </w:rPr>
              <w:instrText xml:space="preserve">PAGEREF _Toc536798406 \h</w:instrText>
            </w:r>
            <w:r>
              <w:rPr>
                <w:webHidden/>
              </w:rPr>
              <w:fldChar w:fldCharType="separate"/>
            </w:r>
            <w:r>
              <w:rPr>
                <w:vanish w:val="false"/>
              </w:rPr>
              <w:tab/>
              <w:t>18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07">
            <w:r>
              <w:rPr>
                <w:webHidden/>
              </w:rPr>
              <w:t>5.5</w:t>
            </w:r>
            <w:r>
              <w:rPr>
                <w:rFonts w:eastAsia="ＭＳ 明朝" w:cs="Arial" w:ascii="Calibri" w:hAnsi="Calibri" w:asciiTheme="minorHAnsi" w:cstheme="minorBidi" w:eastAsiaTheme="minorEastAsia" w:hAnsiTheme="minorHAnsi"/>
                <w:b w:val="false"/>
                <w:sz w:val="22"/>
                <w:szCs w:val="22"/>
                <w:lang w:val="ru-RU"/>
              </w:rPr>
              <w:tab/>
            </w:r>
            <w:r>
              <w:rPr/>
              <w:t>Подготовка заявок</w:t>
            </w:r>
            <w:r>
              <w:rPr>
                <w:webHidden/>
              </w:rPr>
              <w:fldChar w:fldCharType="begin"/>
            </w:r>
            <w:r>
              <w:rPr>
                <w:webHidden/>
              </w:rPr>
              <w:instrText xml:space="preserve">PAGEREF _Toc536798407 \h</w:instrText>
            </w:r>
            <w:r>
              <w:rPr>
                <w:webHidden/>
              </w:rPr>
              <w:fldChar w:fldCharType="separate"/>
            </w:r>
            <w:r>
              <w:rPr>
                <w:vanish w:val="false"/>
              </w:rPr>
              <w:tab/>
              <w:t>18</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08">
            <w:r>
              <w:rPr>
                <w:webHidden/>
              </w:rPr>
              <w:t>5.5.1</w:t>
            </w:r>
            <w:r>
              <w:rPr>
                <w:rFonts w:eastAsia="ＭＳ 明朝" w:cs="Arial" w:ascii="Calibri" w:hAnsi="Calibri" w:asciiTheme="minorHAnsi" w:cstheme="minorBidi" w:eastAsiaTheme="minorEastAsia" w:hAnsiTheme="minorHAnsi"/>
                <w:iCs w:val="false"/>
                <w:sz w:val="22"/>
                <w:szCs w:val="22"/>
              </w:rPr>
              <w:tab/>
            </w:r>
            <w:r>
              <w:rPr/>
              <w:t>Общие требования к заявке</w:t>
            </w:r>
            <w:r>
              <w:rPr>
                <w:webHidden/>
              </w:rPr>
              <w:fldChar w:fldCharType="begin"/>
            </w:r>
            <w:r>
              <w:rPr>
                <w:webHidden/>
              </w:rPr>
              <w:instrText xml:space="preserve">PAGEREF _Toc536798408 \h</w:instrText>
            </w:r>
            <w:r>
              <w:rPr>
                <w:webHidden/>
              </w:rPr>
              <w:fldChar w:fldCharType="separate"/>
            </w:r>
            <w:r>
              <w:rPr>
                <w:vanish w:val="false"/>
              </w:rPr>
              <w:tab/>
              <w:t>18</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09">
            <w:r>
              <w:rPr>
                <w:webHidden/>
              </w:rPr>
              <w:t>5.5.2</w:t>
            </w:r>
            <w:r>
              <w:rPr>
                <w:rFonts w:eastAsia="ＭＳ 明朝" w:cs="Arial" w:ascii="Calibri" w:hAnsi="Calibri" w:asciiTheme="minorHAnsi" w:cstheme="minorBidi" w:eastAsiaTheme="minorEastAsia" w:hAnsiTheme="minorHAnsi"/>
                <w:iCs w:val="false"/>
                <w:sz w:val="22"/>
                <w:szCs w:val="22"/>
              </w:rPr>
              <w:tab/>
            </w:r>
            <w:r>
              <w:rPr/>
              <w:t>Требования к сроку действия заявки</w:t>
            </w:r>
            <w:r>
              <w:rPr>
                <w:webHidden/>
              </w:rPr>
              <w:fldChar w:fldCharType="begin"/>
            </w:r>
            <w:r>
              <w:rPr>
                <w:webHidden/>
              </w:rPr>
              <w:instrText xml:space="preserve">PAGEREF _Toc536798409 \h</w:instrText>
            </w:r>
            <w:r>
              <w:rPr>
                <w:webHidden/>
              </w:rPr>
              <w:fldChar w:fldCharType="separate"/>
            </w:r>
            <w:r>
              <w:rPr>
                <w:vanish w:val="false"/>
              </w:rPr>
              <w:tab/>
              <w:t>19</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10">
            <w:r>
              <w:rPr>
                <w:webHidden/>
              </w:rPr>
              <w:t>5.5.3</w:t>
            </w:r>
            <w:r>
              <w:rPr>
                <w:rFonts w:eastAsia="ＭＳ 明朝" w:cs="Arial" w:ascii="Calibri" w:hAnsi="Calibri" w:asciiTheme="minorHAnsi" w:cstheme="minorBidi" w:eastAsiaTheme="minorEastAsia" w:hAnsiTheme="minorHAnsi"/>
                <w:iCs w:val="false"/>
                <w:sz w:val="22"/>
                <w:szCs w:val="22"/>
              </w:rPr>
              <w:tab/>
            </w:r>
            <w:r>
              <w:rPr/>
              <w:t>Требования к языку заявки</w:t>
            </w:r>
            <w:r>
              <w:rPr>
                <w:webHidden/>
              </w:rPr>
              <w:fldChar w:fldCharType="begin"/>
            </w:r>
            <w:r>
              <w:rPr>
                <w:webHidden/>
              </w:rPr>
              <w:instrText xml:space="preserve">PAGEREF _Toc536798410 \h</w:instrText>
            </w:r>
            <w:r>
              <w:rPr>
                <w:webHidden/>
              </w:rPr>
              <w:fldChar w:fldCharType="separate"/>
            </w:r>
            <w:r>
              <w:rPr>
                <w:vanish w:val="false"/>
              </w:rPr>
              <w:tab/>
              <w:t>20</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11">
            <w:r>
              <w:rPr>
                <w:webHidden/>
              </w:rPr>
              <w:t>5.5.4</w:t>
            </w:r>
            <w:r>
              <w:rPr>
                <w:rFonts w:eastAsia="ＭＳ 明朝" w:cs="Arial" w:ascii="Calibri" w:hAnsi="Calibri" w:asciiTheme="minorHAnsi" w:cstheme="minorBidi" w:eastAsiaTheme="minorEastAsia" w:hAnsiTheme="minorHAnsi"/>
                <w:iCs w:val="false"/>
                <w:sz w:val="22"/>
                <w:szCs w:val="22"/>
              </w:rPr>
              <w:tab/>
            </w:r>
            <w:r>
              <w:rPr/>
              <w:t>Требования к валюте заявки</w:t>
            </w:r>
            <w:r>
              <w:rPr>
                <w:webHidden/>
              </w:rPr>
              <w:fldChar w:fldCharType="begin"/>
            </w:r>
            <w:r>
              <w:rPr>
                <w:webHidden/>
              </w:rPr>
              <w:instrText xml:space="preserve">PAGEREF _Toc536798411 \h</w:instrText>
            </w:r>
            <w:r>
              <w:rPr>
                <w:webHidden/>
              </w:rPr>
              <w:fldChar w:fldCharType="separate"/>
            </w:r>
            <w:r>
              <w:rPr>
                <w:vanish w:val="false"/>
              </w:rPr>
              <w:tab/>
              <w:t>20</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12">
            <w:r>
              <w:rPr>
                <w:webHidden/>
              </w:rPr>
              <w:t>5.5.5</w:t>
            </w:r>
            <w:r>
              <w:rPr>
                <w:rFonts w:eastAsia="ＭＳ 明朝" w:cs="Arial" w:ascii="Calibri" w:hAnsi="Calibri" w:asciiTheme="minorHAnsi" w:cstheme="minorBidi" w:eastAsiaTheme="minorEastAsia" w:hAnsiTheme="minorHAnsi"/>
                <w:iCs w:val="false"/>
                <w:sz w:val="22"/>
                <w:szCs w:val="22"/>
              </w:rPr>
              <w:tab/>
            </w:r>
            <w:r>
              <w:rPr/>
              <w:t>Информация о задатке</w:t>
            </w:r>
            <w:r>
              <w:rPr>
                <w:webHidden/>
              </w:rPr>
              <w:fldChar w:fldCharType="begin"/>
            </w:r>
            <w:r>
              <w:rPr>
                <w:webHidden/>
              </w:rPr>
              <w:instrText xml:space="preserve">PAGEREF _Toc536798412 \h</w:instrText>
            </w:r>
            <w:r>
              <w:rPr>
                <w:webHidden/>
              </w:rPr>
              <w:fldChar w:fldCharType="separate"/>
            </w:r>
            <w:r>
              <w:rPr>
                <w:vanish w:val="false"/>
              </w:rPr>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13">
            <w:r>
              <w:rPr>
                <w:webHidden/>
              </w:rPr>
              <w:t>5.6</w:t>
            </w:r>
            <w:r>
              <w:rPr>
                <w:rFonts w:eastAsia="ＭＳ 明朝" w:cs="Arial" w:ascii="Calibri" w:hAnsi="Calibri" w:asciiTheme="minorHAnsi" w:cstheme="minorBidi" w:eastAsiaTheme="minorEastAsia" w:hAnsiTheme="minorHAnsi"/>
                <w:b w:val="false"/>
                <w:sz w:val="22"/>
                <w:szCs w:val="22"/>
                <w:lang w:val="ru-RU"/>
              </w:rPr>
              <w:tab/>
            </w:r>
            <w:r>
              <w:rPr/>
              <w:t>Подача заявок и их прием</w:t>
            </w:r>
            <w:r>
              <w:rPr>
                <w:webHidden/>
              </w:rPr>
              <w:fldChar w:fldCharType="begin"/>
            </w:r>
            <w:r>
              <w:rPr>
                <w:webHidden/>
              </w:rPr>
              <w:instrText xml:space="preserve">PAGEREF _Toc536798413 \h</w:instrText>
            </w:r>
            <w:r>
              <w:rPr>
                <w:webHidden/>
              </w:rPr>
              <w:fldChar w:fldCharType="separate"/>
            </w:r>
            <w:r>
              <w:rPr>
                <w:vanish w:val="false"/>
              </w:rPr>
              <w:tab/>
              <w:t>20</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414">
            <w:r>
              <w:rPr>
                <w:webHidden/>
              </w:rPr>
              <w:t>5.6.1</w:t>
            </w:r>
            <w:r>
              <w:rPr>
                <w:rFonts w:eastAsia="ＭＳ 明朝" w:cs="Arial" w:ascii="Calibri" w:hAnsi="Calibri" w:asciiTheme="minorHAnsi" w:cstheme="minorBidi" w:eastAsiaTheme="minorEastAsia" w:hAnsiTheme="minorHAnsi"/>
                <w:iCs w:val="false"/>
                <w:sz w:val="22"/>
                <w:szCs w:val="22"/>
              </w:rPr>
              <w:tab/>
            </w:r>
            <w:r>
              <w:rPr/>
              <w:t>Общие требования</w:t>
            </w:r>
            <w:r>
              <w:rPr>
                <w:webHidden/>
              </w:rPr>
              <w:fldChar w:fldCharType="begin"/>
            </w:r>
            <w:r>
              <w:rPr>
                <w:webHidden/>
              </w:rPr>
              <w:instrText xml:space="preserve">PAGEREF _Toc536798414 \h</w:instrText>
            </w:r>
            <w:r>
              <w:rPr>
                <w:webHidden/>
              </w:rPr>
              <w:fldChar w:fldCharType="separate"/>
            </w:r>
            <w:r>
              <w:rPr>
                <w:vanish w:val="false"/>
              </w:rPr>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15">
            <w:r>
              <w:rPr>
                <w:webHidden/>
              </w:rPr>
              <w:t>5.7</w:t>
            </w:r>
            <w:r>
              <w:rPr>
                <w:rFonts w:eastAsia="ＭＳ 明朝" w:cs="Arial" w:ascii="Calibri" w:hAnsi="Calibri" w:asciiTheme="minorHAnsi" w:cstheme="minorBidi" w:eastAsiaTheme="minorEastAsia" w:hAnsiTheme="minorHAnsi"/>
                <w:b w:val="false"/>
                <w:sz w:val="22"/>
                <w:szCs w:val="22"/>
                <w:lang w:val="ru-RU"/>
              </w:rPr>
              <w:tab/>
            </w:r>
            <w:r>
              <w:rPr/>
              <w:t>Изменение и отзыв заявок</w:t>
            </w:r>
            <w:r>
              <w:rPr>
                <w:webHidden/>
              </w:rPr>
              <w:fldChar w:fldCharType="begin"/>
            </w:r>
            <w:r>
              <w:rPr>
                <w:webHidden/>
              </w:rPr>
              <w:instrText xml:space="preserve">PAGEREF _Toc536798415 \h</w:instrText>
            </w:r>
            <w:r>
              <w:rPr>
                <w:webHidden/>
              </w:rPr>
              <w:fldChar w:fldCharType="separate"/>
            </w:r>
            <w:r>
              <w:rPr>
                <w:vanish w:val="false"/>
              </w:rPr>
              <w:tab/>
              <w:t>21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16">
            <w:r>
              <w:rPr>
                <w:webHidden/>
              </w:rPr>
              <w:t>5.8</w:t>
            </w:r>
            <w:r>
              <w:rPr>
                <w:rFonts w:eastAsia="ＭＳ 明朝" w:cs="Arial" w:ascii="Calibri" w:hAnsi="Calibri" w:asciiTheme="minorHAnsi" w:cstheme="minorBidi" w:eastAsiaTheme="minorEastAsia" w:hAnsiTheme="minorHAnsi"/>
                <w:b w:val="false"/>
                <w:sz w:val="22"/>
                <w:szCs w:val="22"/>
                <w:lang w:val="ru-RU"/>
              </w:rPr>
              <w:tab/>
            </w:r>
            <w:r>
              <w:rPr/>
              <w:t>Открытие доступа к заявкам</w:t>
            </w:r>
            <w:r>
              <w:rPr>
                <w:webHidden/>
              </w:rPr>
              <w:fldChar w:fldCharType="begin"/>
            </w:r>
            <w:r>
              <w:rPr>
                <w:webHidden/>
              </w:rPr>
              <w:instrText xml:space="preserve">PAGEREF _Toc536798416 \h</w:instrText>
            </w:r>
            <w:r>
              <w:rPr>
                <w:webHidden/>
              </w:rPr>
              <w:fldChar w:fldCharType="separate"/>
            </w:r>
            <w:r>
              <w:rPr>
                <w:vanish w:val="false"/>
              </w:rPr>
              <w:tab/>
              <w:t>21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17">
            <w:r>
              <w:rPr>
                <w:webHidden/>
              </w:rPr>
              <w:t>5.9</w:t>
            </w:r>
            <w:r>
              <w:rPr>
                <w:rFonts w:eastAsia="ＭＳ 明朝" w:cs="Arial" w:ascii="Calibri" w:hAnsi="Calibri" w:asciiTheme="minorHAnsi" w:cstheme="minorBidi" w:eastAsiaTheme="minorEastAsia" w:hAnsiTheme="minorHAnsi"/>
                <w:b w:val="false"/>
                <w:sz w:val="22"/>
                <w:szCs w:val="22"/>
                <w:lang w:val="ru-RU"/>
              </w:rPr>
              <w:tab/>
            </w:r>
            <w:r>
              <w:rPr/>
              <w:t>Оценка и сопоставление заявок. Подведение итогов Запроса предложений</w:t>
            </w:r>
            <w:r>
              <w:rPr>
                <w:webHidden/>
              </w:rPr>
              <w:fldChar w:fldCharType="begin"/>
            </w:r>
            <w:r>
              <w:rPr>
                <w:webHidden/>
              </w:rPr>
              <w:instrText xml:space="preserve">PAGEREF _Toc536798417 \h</w:instrText>
            </w:r>
            <w:r>
              <w:rPr>
                <w:webHidden/>
              </w:rPr>
              <w:fldChar w:fldCharType="separate"/>
            </w:r>
            <w:r>
              <w:rPr>
                <w:vanish w:val="false"/>
              </w:rPr>
              <w:tab/>
              <w:t>21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18">
            <w:r>
              <w:rPr>
                <w:webHidden/>
              </w:rPr>
              <w:t>5.10</w:t>
            </w:r>
            <w:r>
              <w:rPr>
                <w:rFonts w:eastAsia="ＭＳ 明朝" w:cs="Arial" w:ascii="Calibri" w:hAnsi="Calibri" w:asciiTheme="minorHAnsi" w:cstheme="minorBidi" w:eastAsiaTheme="minorEastAsia" w:hAnsiTheme="minorHAnsi"/>
                <w:b w:val="false"/>
                <w:sz w:val="22"/>
                <w:szCs w:val="22"/>
                <w:lang w:val="ru-RU"/>
              </w:rPr>
              <w:tab/>
            </w:r>
            <w:r>
              <w:rPr/>
              <w:t>Признание Запроса предложений несостоявшимся</w:t>
            </w:r>
            <w:r>
              <w:rPr>
                <w:webHidden/>
              </w:rPr>
              <w:fldChar w:fldCharType="begin"/>
            </w:r>
            <w:r>
              <w:rPr>
                <w:webHidden/>
              </w:rPr>
              <w:instrText xml:space="preserve">PAGEREF _Toc536798418 \h</w:instrText>
            </w:r>
            <w:r>
              <w:rPr>
                <w:webHidden/>
              </w:rPr>
              <w:fldChar w:fldCharType="separate"/>
            </w:r>
            <w:r>
              <w:rPr>
                <w:vanish w:val="false"/>
              </w:rPr>
              <w:tab/>
              <w:t>23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19">
            <w:r>
              <w:rPr>
                <w:webHidden/>
              </w:rPr>
              <w:t>5.11</w:t>
            </w:r>
            <w:r>
              <w:rPr>
                <w:rFonts w:eastAsia="ＭＳ 明朝" w:cs="Arial" w:ascii="Calibri" w:hAnsi="Calibri" w:asciiTheme="minorHAnsi" w:cstheme="minorBidi" w:eastAsiaTheme="minorEastAsia" w:hAnsiTheme="minorHAnsi"/>
                <w:b w:val="false"/>
                <w:sz w:val="22"/>
                <w:szCs w:val="22"/>
                <w:lang w:val="ru-RU"/>
              </w:rPr>
              <w:tab/>
            </w:r>
            <w:r>
              <w:rPr/>
              <w:t>Отказ от проведения (отмена) Запроса предложений</w:t>
            </w:r>
            <w:r>
              <w:rPr>
                <w:webHidden/>
              </w:rPr>
              <w:fldChar w:fldCharType="begin"/>
            </w:r>
            <w:r>
              <w:rPr>
                <w:webHidden/>
              </w:rPr>
              <w:instrText xml:space="preserve">PAGEREF _Toc536798419 \h</w:instrText>
            </w:r>
            <w:r>
              <w:rPr>
                <w:webHidden/>
              </w:rPr>
              <w:fldChar w:fldCharType="separate"/>
            </w:r>
            <w:r>
              <w:rPr>
                <w:vanish w:val="false"/>
              </w:rPr>
              <w:tab/>
              <w:t>24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20">
            <w:r>
              <w:rPr>
                <w:webHidden/>
              </w:rPr>
              <w:t>6.</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ПОРЯДОК ЗАКЛЮЧЕНИЯ ДОГОВОРА</w:t>
            </w:r>
            <w:r>
              <w:rPr>
                <w:webHidden/>
              </w:rPr>
              <w:fldChar w:fldCharType="begin"/>
            </w:r>
            <w:r>
              <w:rPr>
                <w:webHidden/>
              </w:rPr>
              <w:instrText xml:space="preserve">PAGEREF _Toc536798420 \h</w:instrText>
            </w:r>
            <w:r>
              <w:rPr>
                <w:webHidden/>
              </w:rPr>
              <w:fldChar w:fldCharType="separate"/>
            </w:r>
            <w:r>
              <w:rPr>
                <w:vanish w:val="false"/>
              </w:rPr>
              <w:tab/>
              <w:t>24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21">
            <w:r>
              <w:rPr>
                <w:webHidden/>
              </w:rPr>
              <w:t>6.1</w:t>
            </w:r>
            <w:r>
              <w:rPr>
                <w:rFonts w:eastAsia="ＭＳ 明朝" w:cs="Arial" w:ascii="Calibri" w:hAnsi="Calibri" w:asciiTheme="minorHAnsi" w:cstheme="minorBidi" w:eastAsiaTheme="minorEastAsia" w:hAnsiTheme="minorHAnsi"/>
                <w:b w:val="false"/>
                <w:sz w:val="22"/>
                <w:szCs w:val="22"/>
                <w:lang w:val="ru-RU"/>
              </w:rPr>
              <w:tab/>
            </w:r>
            <w:r>
              <w:rPr/>
              <w:t>Заключение Договора</w:t>
            </w:r>
            <w:r>
              <w:rPr>
                <w:webHidden/>
              </w:rPr>
              <w:fldChar w:fldCharType="begin"/>
            </w:r>
            <w:r>
              <w:rPr>
                <w:webHidden/>
              </w:rPr>
              <w:instrText xml:space="preserve">PAGEREF _Toc536798421 \h</w:instrText>
            </w:r>
            <w:r>
              <w:rPr>
                <w:webHidden/>
              </w:rPr>
              <w:fldChar w:fldCharType="separate"/>
            </w:r>
            <w:r>
              <w:rPr>
                <w:vanish w:val="false"/>
              </w:rPr>
              <w:tab/>
              <w:t>24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22">
            <w:r>
              <w:rPr>
                <w:webHidden/>
              </w:rPr>
              <w:t>6.2</w:t>
            </w:r>
            <w:r>
              <w:rPr>
                <w:rFonts w:eastAsia="ＭＳ 明朝" w:cs="Arial" w:ascii="Calibri" w:hAnsi="Calibri" w:asciiTheme="minorHAnsi" w:cstheme="minorBidi" w:eastAsiaTheme="minorEastAsia" w:hAnsiTheme="minorHAnsi"/>
                <w:b w:val="false"/>
                <w:sz w:val="22"/>
                <w:szCs w:val="22"/>
                <w:lang w:val="ru-RU"/>
              </w:rPr>
              <w:tab/>
            </w:r>
            <w:r>
              <w:rPr/>
              <w:t>Уклонение Победителя от заключения Договора</w:t>
            </w:r>
            <w:r>
              <w:rPr>
                <w:webHidden/>
              </w:rPr>
              <w:fldChar w:fldCharType="begin"/>
            </w:r>
            <w:r>
              <w:rPr>
                <w:webHidden/>
              </w:rPr>
              <w:instrText xml:space="preserve">PAGEREF _Toc536798422 \h</w:instrText>
            </w:r>
            <w:r>
              <w:rPr>
                <w:webHidden/>
              </w:rPr>
              <w:fldChar w:fldCharType="separate"/>
            </w:r>
            <w:r>
              <w:rPr>
                <w:vanish w:val="false"/>
              </w:rPr>
              <w:tab/>
              <w:t>24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23">
            <w:r>
              <w:rPr>
                <w:webHidden/>
              </w:rPr>
              <w:t>7.</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ПОРЯДОК ПРИМЕНЕНИЯ ДОПОЛНИТЕЛЬНЫХ ЭЛЕМЕНТОВ ЗАПРОСА ПРЕДЛОЖЕНИЙ</w:t>
            </w:r>
            <w:r>
              <w:rPr>
                <w:webHidden/>
              </w:rPr>
              <w:fldChar w:fldCharType="begin"/>
            </w:r>
            <w:r>
              <w:rPr>
                <w:webHidden/>
              </w:rPr>
              <w:instrText xml:space="preserve">PAGEREF _Toc536798423 \h</w:instrText>
            </w:r>
            <w:r>
              <w:rPr>
                <w:webHidden/>
              </w:rPr>
              <w:fldChar w:fldCharType="separate"/>
            </w:r>
            <w:r>
              <w:rPr>
                <w:vanish w:val="false"/>
              </w:rPr>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24">
            <w:r>
              <w:rPr>
                <w:webHidden/>
              </w:rPr>
              <w:t>7.1</w:t>
            </w:r>
            <w:r>
              <w:rPr>
                <w:rFonts w:eastAsia="ＭＳ 明朝" w:cs="Arial" w:ascii="Calibri" w:hAnsi="Calibri" w:asciiTheme="minorHAnsi" w:cstheme="minorBidi" w:eastAsiaTheme="minorEastAsia" w:hAnsiTheme="minorHAnsi"/>
                <w:b w:val="false"/>
                <w:sz w:val="22"/>
                <w:szCs w:val="22"/>
                <w:lang w:val="ru-RU"/>
              </w:rPr>
              <w:tab/>
            </w:r>
            <w:r>
              <w:rPr/>
              <w:t>Статус настоящего раздела</w:t>
            </w:r>
            <w:r>
              <w:rPr>
                <w:webHidden/>
              </w:rPr>
              <w:fldChar w:fldCharType="begin"/>
            </w:r>
            <w:r>
              <w:rPr>
                <w:webHidden/>
              </w:rPr>
              <w:instrText xml:space="preserve">PAGEREF _Toc536798424 \h</w:instrText>
            </w:r>
            <w:r>
              <w:rPr>
                <w:webHidden/>
              </w:rPr>
              <w:fldChar w:fldCharType="separate"/>
            </w:r>
            <w:r>
              <w:rPr>
                <w:vanish w:val="false"/>
              </w:rPr>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25">
            <w:r>
              <w:rPr>
                <w:webHidden/>
              </w:rPr>
              <w:t>7.2</w:t>
            </w:r>
            <w:r>
              <w:rPr>
                <w:rFonts w:eastAsia="ＭＳ 明朝" w:cs="Arial" w:ascii="Calibri" w:hAnsi="Calibri" w:asciiTheme="minorHAnsi" w:cstheme="minorBidi" w:eastAsiaTheme="minorEastAsia" w:hAnsiTheme="minorHAnsi"/>
                <w:b w:val="false"/>
                <w:sz w:val="22"/>
                <w:szCs w:val="22"/>
                <w:lang w:val="ru-RU"/>
              </w:rPr>
              <w:tab/>
            </w:r>
            <w:r>
              <w:rPr/>
              <w:t>Многолотовая продажа</w:t>
            </w:r>
            <w:r>
              <w:rPr>
                <w:webHidden/>
              </w:rPr>
              <w:fldChar w:fldCharType="begin"/>
            </w:r>
            <w:r>
              <w:rPr>
                <w:webHidden/>
              </w:rPr>
              <w:instrText xml:space="preserve">PAGEREF _Toc536798425 \h</w:instrText>
            </w:r>
            <w:r>
              <w:rPr>
                <w:webHidden/>
              </w:rPr>
              <w:fldChar w:fldCharType="separate"/>
            </w:r>
            <w:r>
              <w:rPr>
                <w:vanish w:val="false"/>
              </w:rPr>
              <w:tab/>
              <w:t>26</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26">
            <w:r>
              <w:rPr>
                <w:webHidden/>
              </w:rPr>
              <w:t>8.</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ОБРАЗЦЫ ОСНОВНЫХ ФОРМ ДОКУМЕНТОВ, ВКЛЮЧАЕМЫХ В ЗАЯВКУ</w:t>
            </w:r>
            <w:r>
              <w:rPr>
                <w:webHidden/>
              </w:rPr>
              <w:fldChar w:fldCharType="begin"/>
            </w:r>
            <w:r>
              <w:rPr>
                <w:webHidden/>
              </w:rPr>
              <w:instrText xml:space="preserve">PAGEREF _Toc536798426 \h</w:instrText>
            </w:r>
            <w:r>
              <w:rPr>
                <w:webHidden/>
              </w:rPr>
              <w:fldChar w:fldCharType="separate"/>
            </w:r>
            <w:r>
              <w:rPr>
                <w:vanish w:val="false"/>
              </w:rPr>
              <w:tab/>
              <w:t>27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27">
            <w:r>
              <w:rPr>
                <w:webHidden/>
              </w:rPr>
              <w:t>8.1</w:t>
            </w:r>
            <w:r>
              <w:rPr>
                <w:rFonts w:eastAsia="ＭＳ 明朝" w:cs="Arial" w:ascii="Calibri" w:hAnsi="Calibri" w:asciiTheme="minorHAnsi" w:cstheme="minorBidi" w:eastAsiaTheme="minorEastAsia" w:hAnsiTheme="minorHAnsi"/>
                <w:b w:val="false"/>
                <w:sz w:val="22"/>
                <w:szCs w:val="22"/>
                <w:lang w:val="ru-RU"/>
              </w:rPr>
              <w:tab/>
            </w:r>
            <w:r>
              <w:rPr/>
              <w:t>Опись документов (форма 1)</w:t>
            </w:r>
            <w:r>
              <w:rPr>
                <w:webHidden/>
              </w:rPr>
              <w:fldChar w:fldCharType="begin"/>
            </w:r>
            <w:r>
              <w:rPr>
                <w:webHidden/>
              </w:rPr>
              <w:instrText xml:space="preserve">PAGEREF _Toc536798427 \h</w:instrText>
            </w:r>
            <w:r>
              <w:rPr>
                <w:webHidden/>
              </w:rPr>
              <w:fldChar w:fldCharType="separate"/>
            </w:r>
            <w:r>
              <w:rPr>
                <w:vanish w:val="false"/>
              </w:rPr>
              <w:tab/>
              <w:t>27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28">
            <w:r>
              <w:rPr>
                <w:webHidden/>
              </w:rPr>
              <w:t>8.2</w:t>
            </w:r>
            <w:r>
              <w:rPr>
                <w:rFonts w:eastAsia="ＭＳ 明朝" w:cs="Arial" w:ascii="Calibri" w:hAnsi="Calibri" w:asciiTheme="minorHAnsi" w:cstheme="minorBidi" w:eastAsiaTheme="minorEastAsia" w:hAnsiTheme="minorHAnsi"/>
                <w:b w:val="false"/>
                <w:sz w:val="22"/>
                <w:szCs w:val="22"/>
                <w:lang w:val="ru-RU"/>
              </w:rPr>
              <w:tab/>
            </w:r>
            <w:r>
              <w:rPr/>
              <w:t>Заявка на участие в Запросе предложений (форма 2)</w:t>
            </w:r>
            <w:r>
              <w:rPr>
                <w:webHidden/>
              </w:rPr>
              <w:fldChar w:fldCharType="begin"/>
            </w:r>
            <w:r>
              <w:rPr>
                <w:webHidden/>
              </w:rPr>
              <w:instrText xml:space="preserve">PAGEREF _Toc536798428 \h</w:instrText>
            </w:r>
            <w:r>
              <w:rPr>
                <w:webHidden/>
              </w:rPr>
              <w:fldChar w:fldCharType="separate"/>
            </w:r>
            <w:r>
              <w:rPr>
                <w:vanish w:val="false"/>
              </w:rPr>
              <w:tab/>
              <w:t>29</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29">
            <w:r>
              <w:rPr>
                <w:webHidden/>
              </w:rPr>
              <w:t>9.</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1 – ТЕХНИЧЕСКИЕ ХАРАКТЕРИСТИКИ ПРЕДМЕТА ПРОДАЖИ</w:t>
            </w:r>
            <w:r>
              <w:rPr>
                <w:webHidden/>
              </w:rPr>
              <w:fldChar w:fldCharType="begin"/>
            </w:r>
            <w:r>
              <w:rPr>
                <w:webHidden/>
              </w:rPr>
              <w:instrText xml:space="preserve">PAGEREF _Toc536798429 \h</w:instrText>
            </w:r>
            <w:r>
              <w:rPr>
                <w:webHidden/>
              </w:rPr>
              <w:fldChar w:fldCharType="separate"/>
            </w:r>
            <w:r>
              <w:rPr>
                <w:vanish w:val="false"/>
              </w:rPr>
              <w:tab/>
              <w:t>33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30">
            <w:r>
              <w:rPr>
                <w:webHidden/>
              </w:rPr>
              <w:t>9.1</w:t>
            </w:r>
            <w:r>
              <w:rPr>
                <w:rFonts w:eastAsia="ＭＳ 明朝" w:cs="Arial" w:ascii="Calibri" w:hAnsi="Calibri" w:asciiTheme="minorHAnsi" w:cstheme="minorBidi" w:eastAsiaTheme="minorEastAsia" w:hAnsiTheme="minorHAnsi"/>
                <w:b w:val="false"/>
                <w:sz w:val="22"/>
                <w:szCs w:val="22"/>
                <w:lang w:val="ru-RU"/>
              </w:rPr>
              <w:tab/>
            </w:r>
            <w:r>
              <w:rPr/>
              <w:t>Пояснения к Техническим характеристикам предмета продажи</w:t>
            </w:r>
            <w:r>
              <w:rPr>
                <w:webHidden/>
              </w:rPr>
              <w:fldChar w:fldCharType="begin"/>
            </w:r>
            <w:r>
              <w:rPr>
                <w:webHidden/>
              </w:rPr>
              <w:instrText xml:space="preserve">PAGEREF _Toc536798430 \h</w:instrText>
            </w:r>
            <w:r>
              <w:rPr>
                <w:webHidden/>
              </w:rPr>
              <w:fldChar w:fldCharType="separate"/>
            </w:r>
            <w:r>
              <w:rPr>
                <w:vanish w:val="false"/>
              </w:rPr>
              <w:tab/>
              <w:t>33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31">
            <w:r>
              <w:rPr>
                <w:webHidden/>
              </w:rPr>
              <w:t>10.</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2 – ПРОЕКТ ДОГОВОРА</w:t>
            </w:r>
            <w:r>
              <w:rPr>
                <w:webHidden/>
              </w:rPr>
              <w:fldChar w:fldCharType="begin"/>
            </w:r>
            <w:r>
              <w:rPr>
                <w:webHidden/>
              </w:rPr>
              <w:instrText xml:space="preserve">PAGEREF _Toc536798431 \h</w:instrText>
            </w:r>
            <w:r>
              <w:rPr>
                <w:webHidden/>
              </w:rPr>
              <w:fldChar w:fldCharType="separate"/>
            </w:r>
            <w:r>
              <w:rPr>
                <w:vanish w:val="false"/>
              </w:rPr>
              <w:tab/>
              <w:t>34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32">
            <w:r>
              <w:rPr>
                <w:webHidden/>
              </w:rPr>
              <w:t>10.1</w:t>
            </w:r>
            <w:r>
              <w:rPr>
                <w:rFonts w:eastAsia="ＭＳ 明朝" w:cs="Arial" w:ascii="Calibri" w:hAnsi="Calibri" w:asciiTheme="minorHAnsi" w:cstheme="minorBidi" w:eastAsiaTheme="minorEastAsia" w:hAnsiTheme="minorHAnsi"/>
                <w:b w:val="false"/>
                <w:sz w:val="22"/>
                <w:szCs w:val="22"/>
                <w:lang w:val="ru-RU"/>
              </w:rPr>
              <w:tab/>
            </w:r>
            <w:r>
              <w:rPr/>
              <w:t>Пояснения к проекту договора</w:t>
            </w:r>
            <w:r>
              <w:rPr>
                <w:webHidden/>
              </w:rPr>
              <w:fldChar w:fldCharType="begin"/>
            </w:r>
            <w:r>
              <w:rPr>
                <w:webHidden/>
              </w:rPr>
              <w:instrText xml:space="preserve">PAGEREF _Toc536798432 \h</w:instrText>
            </w:r>
            <w:r>
              <w:rPr>
                <w:webHidden/>
              </w:rPr>
              <w:fldChar w:fldCharType="separate"/>
            </w:r>
            <w:r>
              <w:rPr>
                <w:vanish w:val="false"/>
              </w:rPr>
              <w:tab/>
              <w:t>34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33">
            <w:r>
              <w:rPr>
                <w:webHidden/>
              </w:rPr>
              <w:t>11.</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3 – ТРЕБОВАНИЯ К УЧАСТНИКАМ</w:t>
            </w:r>
            <w:r>
              <w:rPr>
                <w:webHidden/>
              </w:rPr>
              <w:fldChar w:fldCharType="begin"/>
            </w:r>
            <w:r>
              <w:rPr>
                <w:webHidden/>
              </w:rPr>
              <w:instrText xml:space="preserve">PAGEREF _Toc536798433 \h</w:instrText>
            </w:r>
            <w:r>
              <w:rPr>
                <w:webHidden/>
              </w:rPr>
              <w:fldChar w:fldCharType="separate"/>
            </w:r>
            <w:r>
              <w:rPr>
                <w:vanish w:val="false"/>
              </w:rPr>
              <w:tab/>
              <w:t>35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34">
            <w:r>
              <w:rPr>
                <w:webHidden/>
              </w:rPr>
              <w:t>11.1</w:t>
            </w:r>
            <w:r>
              <w:rPr>
                <w:rFonts w:eastAsia="ＭＳ 明朝" w:cs="Arial" w:ascii="Calibri" w:hAnsi="Calibri" w:asciiTheme="minorHAnsi" w:cstheme="minorBidi" w:eastAsiaTheme="minorEastAsia" w:hAnsiTheme="minorHAnsi"/>
                <w:b w:val="false"/>
                <w:sz w:val="22"/>
                <w:szCs w:val="22"/>
                <w:lang w:val="ru-RU"/>
              </w:rPr>
              <w:tab/>
            </w:r>
            <w:r>
              <w:rPr/>
              <w:t>Требования к Участникам и к документам, подтверждающим соответствие Участника установленным требованиям</w:t>
            </w:r>
            <w:r>
              <w:rPr>
                <w:webHidden/>
              </w:rPr>
              <w:fldChar w:fldCharType="begin"/>
            </w:r>
            <w:r>
              <w:rPr>
                <w:webHidden/>
              </w:rPr>
              <w:instrText xml:space="preserve">PAGEREF _Toc536798434 \h</w:instrText>
            </w:r>
            <w:r>
              <w:rPr>
                <w:webHidden/>
              </w:rPr>
              <w:fldChar w:fldCharType="separate"/>
            </w:r>
            <w:r>
              <w:rPr>
                <w:vanish w:val="false"/>
              </w:rPr>
              <w:tab/>
              <w:t>35</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35">
            <w:r>
              <w:rPr>
                <w:webHidden/>
              </w:rPr>
              <w:t>12.</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4 – СОСТАВ ЗАЯВКИ</w:t>
            </w:r>
            <w:r>
              <w:rPr>
                <w:webHidden/>
              </w:rPr>
              <w:fldChar w:fldCharType="begin"/>
            </w:r>
            <w:r>
              <w:rPr>
                <w:webHidden/>
              </w:rPr>
              <w:instrText xml:space="preserve">PAGEREF _Toc536798435 \h</w:instrText>
            </w:r>
            <w:r>
              <w:rPr>
                <w:webHidden/>
              </w:rPr>
              <w:fldChar w:fldCharType="separate"/>
            </w:r>
            <w:r>
              <w:rPr>
                <w:vanish w:val="false"/>
              </w:rPr>
              <w:tab/>
              <w:t>40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436">
            <w:r>
              <w:rPr>
                <w:webHidden/>
              </w:rPr>
              <w:t>12.1</w:t>
            </w:r>
            <w:r>
              <w:rPr>
                <w:rFonts w:eastAsia="ＭＳ 明朝" w:cs="Arial" w:ascii="Calibri" w:hAnsi="Calibri" w:asciiTheme="minorHAnsi" w:cstheme="minorBidi" w:eastAsiaTheme="minorEastAsia" w:hAnsiTheme="minorHAnsi"/>
                <w:b w:val="false"/>
                <w:sz w:val="22"/>
                <w:szCs w:val="22"/>
                <w:lang w:val="ru-RU"/>
              </w:rPr>
              <w:tab/>
            </w:r>
            <w:r>
              <w:rPr/>
              <w:t>Состав заявки</w:t>
            </w:r>
            <w:r>
              <w:rPr>
                <w:webHidden/>
              </w:rPr>
              <w:fldChar w:fldCharType="begin"/>
            </w:r>
            <w:r>
              <w:rPr>
                <w:webHidden/>
              </w:rPr>
              <w:instrText xml:space="preserve">PAGEREF _Toc536798436 \h</w:instrText>
            </w:r>
            <w:r>
              <w:rPr>
                <w:webHidden/>
              </w:rPr>
              <w:fldChar w:fldCharType="separate"/>
            </w:r>
            <w:r>
              <w:rPr>
                <w:vanish w:val="false"/>
              </w:rPr>
              <w:tab/>
              <w:t>40</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437">
            <w:r>
              <w:rPr>
                <w:webHidden/>
              </w:rPr>
              <w:t>13.</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5 – ОТБОРОЧНЫЕ КРИТЕРИИ РАССМОТРЕНИЯ ЗАЯВОК</w:t>
            </w:r>
            <w:r>
              <w:rPr>
                <w:webHidden/>
              </w:rPr>
              <w:fldChar w:fldCharType="begin"/>
            </w:r>
            <w:r>
              <w:rPr>
                <w:webHidden/>
              </w:rPr>
              <w:instrText xml:space="preserve">PAGEREF _Toc536798437 \h</w:instrText>
            </w:r>
            <w:r>
              <w:rPr>
                <w:webHidden/>
              </w:rPr>
              <w:fldChar w:fldCharType="separate"/>
            </w:r>
            <w:r>
              <w:rPr>
                <w:vanish w:val="false"/>
              </w:rPr>
              <w:tab/>
              <w:t>41</w:t>
            </w:r>
            <w:r>
              <w:rPr>
                <w:webHidden/>
              </w:rPr>
              <w:fldChar w:fldCharType="end"/>
            </w:r>
          </w:hyperlink>
          <w:r>
            <w:rPr>
              <w:vanish w:val="false"/>
            </w:rPr>
            <w:fldChar w:fldCharType="end"/>
          </w:r>
        </w:p>
      </w:sdtContent>
    </w:sdt>
    <w:p>
      <w:pPr>
        <w:pStyle w:val="Normal"/>
        <w:widowControl/>
        <w:suppressAutoHyphens w:val="true"/>
        <w:bidi w:val="0"/>
        <w:spacing w:before="120" w:after="0"/>
        <w:jc w:val="both"/>
        <w:rPr/>
      </w:pPr>
      <w:r>
        <w:rPr/>
      </w:r>
    </w:p>
    <w:p>
      <w:pPr>
        <w:pStyle w:val="1"/>
        <w:numPr>
          <w:ilvl w:val="0"/>
          <w:numId w:val="0"/>
        </w:numPr>
        <w:ind w:left="0" w:hanging="0"/>
        <w:jc w:val="center"/>
        <w:rPr>
          <w:rFonts w:ascii="Times New Roman" w:hAnsi="Times New Roman"/>
          <w:sz w:val="28"/>
          <w:szCs w:val="28"/>
        </w:rPr>
      </w:pPr>
      <w:bookmarkStart w:id="3" w:name="_Ref457404873"/>
      <w:bookmarkStart w:id="4" w:name="_Ref384119009"/>
      <w:bookmarkStart w:id="5" w:name="_Toc69728940"/>
      <w:bookmarkStart w:id="6" w:name="_Ref57322919"/>
      <w:bookmarkStart w:id="7" w:name="_Ref57322917"/>
      <w:bookmarkStart w:id="8" w:name="_Toc57314614"/>
      <w:bookmarkStart w:id="9" w:name="_Ref57046967"/>
      <w:bookmarkStart w:id="10" w:name="_Ref56251020"/>
      <w:bookmarkStart w:id="11" w:name="_Ref56251018"/>
      <w:bookmarkStart w:id="12" w:name="_Ref55335495"/>
      <w:bookmarkStart w:id="13" w:name="_Toc55305368"/>
      <w:bookmarkStart w:id="14" w:name="_Toc55285334"/>
      <w:bookmarkStart w:id="15" w:name="_Toc55193146"/>
      <w:bookmarkStart w:id="16" w:name="_Toc518119233"/>
      <w:bookmarkStart w:id="17" w:name="_Toc517582613"/>
      <w:bookmarkStart w:id="18" w:name="_Toc517582289"/>
      <w:bookmarkStart w:id="19" w:name="_Toc500159328"/>
      <w:bookmarkStart w:id="20" w:name="_Toc536798387"/>
      <w:bookmarkStart w:id="21" w:name="_Ref514366976"/>
      <w:bookmarkEnd w:id="19"/>
      <w:r>
        <w:rPr>
          <w:rFonts w:ascii="Times New Roman" w:hAnsi="Times New Roman"/>
          <w:sz w:val="28"/>
          <w:szCs w:val="28"/>
        </w:rPr>
        <w:t>СОКРАЩЕНИЯ</w:t>
      </w:r>
      <w:bookmarkEnd w:id="20"/>
      <w:bookmarkEnd w:id="21"/>
    </w:p>
    <w:p>
      <w:pPr>
        <w:pStyle w:val="Normal"/>
        <w:tabs>
          <w:tab w:val="clear" w:pos="567"/>
          <w:tab w:val="left" w:pos="2977" w:leader="none"/>
          <w:tab w:val="left" w:pos="3544" w:leader="none"/>
        </w:tabs>
        <w:ind w:firstLine="1134"/>
        <w:jc w:val="center"/>
        <w:rPr>
          <w:b/>
          <w:b/>
          <w:sz w:val="24"/>
        </w:rPr>
      </w:pPr>
      <w:r>
        <w:rPr>
          <w:b/>
          <w:sz w:val="24"/>
        </w:rPr>
      </w:r>
    </w:p>
    <w:tbl>
      <w:tblPr>
        <w:tblW w:w="10564"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01"/>
        <w:gridCol w:w="426"/>
        <w:gridCol w:w="7337"/>
      </w:tblGrid>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Запрос предложений</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w:t>
              <w:br/>
              <w:t>ПАО «РусГидро» без объявления цены.</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ГК РФ</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Гражданской кодекс Российской Федерации.</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Документация</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настоящая Документация о продаже имущества.</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Договор</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ЕГРИП</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ЕГРЮЛ</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юридических лиц.</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Заявка</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заявка на участие в Процедуре продажи.</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Извещение</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извещение о проведении Процедуры продажи.</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ИНН</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идентификационный номер налогоплательщика.</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Организатор</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Организатор продажи.</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Процедура</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Процедура продажи, Процедура на право заключения договора купли-продажи имущества ПАО «РусГидро», проводимая способом Запроса предложений без объявления цены.</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 xml:space="preserve">Стороны </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Организатор, Продавец и Участники Запроса предложений, являющиеся сторонами Процедуры (при совместном упоминании).</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Участник</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Участник Процедуры продажи.</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ЭТП</w:t>
            </w:r>
          </w:p>
        </w:tc>
        <w:tc>
          <w:tcPr>
            <w:tcW w:w="426" w:type="dxa"/>
            <w:tcBorders/>
          </w:tcPr>
          <w:p>
            <w:pPr>
              <w:pStyle w:val="Normal"/>
              <w:widowControl w:val="false"/>
              <w:tabs>
                <w:tab w:val="clear" w:pos="567"/>
                <w:tab w:val="left" w:pos="2977" w:leader="none"/>
                <w:tab w:val="left" w:pos="3544" w:leader="none"/>
              </w:tabs>
              <w:spacing w:before="120" w:after="0"/>
              <w:rPr>
                <w:b/>
                <w:b/>
              </w:rPr>
            </w:pPr>
            <w:r>
              <w:rPr/>
              <w:t>–</w:t>
            </w:r>
          </w:p>
        </w:tc>
        <w:tc>
          <w:tcPr>
            <w:tcW w:w="7337" w:type="dxa"/>
            <w:tcBorders/>
          </w:tcPr>
          <w:p>
            <w:pPr>
              <w:pStyle w:val="Normal"/>
              <w:widowControl w:val="false"/>
              <w:tabs>
                <w:tab w:val="clear" w:pos="567"/>
                <w:tab w:val="left" w:pos="2977" w:leader="none"/>
                <w:tab w:val="left" w:pos="3544" w:leader="none"/>
              </w:tabs>
              <w:spacing w:before="120" w:after="0"/>
              <w:rPr>
                <w:b/>
                <w:b/>
              </w:rPr>
            </w:pPr>
            <w:r>
              <w:rPr/>
              <w:t>электронная торговая площадка.</w:t>
            </w:r>
          </w:p>
        </w:tc>
      </w:tr>
      <w:tr>
        <w:trPr/>
        <w:tc>
          <w:tcPr>
            <w:tcW w:w="2801" w:type="dxa"/>
            <w:tcBorders/>
          </w:tcPr>
          <w:p>
            <w:pPr>
              <w:pStyle w:val="Normal"/>
              <w:widowControl w:val="false"/>
              <w:tabs>
                <w:tab w:val="clear" w:pos="567"/>
                <w:tab w:val="left" w:pos="2977" w:leader="none"/>
                <w:tab w:val="left" w:pos="3544" w:leader="none"/>
              </w:tabs>
              <w:spacing w:before="120" w:after="0"/>
              <w:rPr>
                <w:b/>
                <w:b/>
              </w:rPr>
            </w:pPr>
            <w:r>
              <w:rPr>
                <w:b/>
              </w:rPr>
              <w:t>ЭЦП</w:t>
            </w:r>
          </w:p>
        </w:tc>
        <w:tc>
          <w:tcPr>
            <w:tcW w:w="426"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электронная цифровая подпись.</w:t>
            </w:r>
          </w:p>
        </w:tc>
      </w:tr>
    </w:tbl>
    <w:p>
      <w:pPr>
        <w:pStyle w:val="1"/>
        <w:numPr>
          <w:ilvl w:val="0"/>
          <w:numId w:val="0"/>
        </w:numPr>
        <w:ind w:left="0" w:hanging="0"/>
        <w:jc w:val="center"/>
        <w:rPr>
          <w:rFonts w:ascii="Times New Roman" w:hAnsi="Times New Roman"/>
          <w:sz w:val="28"/>
          <w:szCs w:val="28"/>
        </w:rPr>
      </w:pPr>
      <w:bookmarkStart w:id="22" w:name="_Toc500159328"/>
      <w:bookmarkStart w:id="23" w:name="_Toc536798388"/>
      <w:bookmarkStart w:id="24" w:name="_Toc517136388"/>
      <w:bookmarkEnd w:id="22"/>
      <w:r>
        <w:rPr>
          <w:rFonts w:ascii="Times New Roman" w:hAnsi="Times New Roman"/>
          <w:sz w:val="28"/>
          <w:szCs w:val="28"/>
        </w:rPr>
        <w:t>ТЕРМИНЫ И ОПРЕДЕЛЕНИЯ</w:t>
      </w:r>
      <w:bookmarkEnd w:id="23"/>
      <w:bookmarkEnd w:id="24"/>
    </w:p>
    <w:p>
      <w:pPr>
        <w:pStyle w:val="Default"/>
        <w:spacing w:before="120" w:after="120"/>
        <w:jc w:val="both"/>
        <w:rPr>
          <w:b/>
          <w:b/>
          <w:sz w:val="26"/>
          <w:szCs w:val="26"/>
        </w:rPr>
      </w:pPr>
      <w:r>
        <w:rPr>
          <w:b/>
          <w:sz w:val="26"/>
          <w:szCs w:val="26"/>
        </w:rPr>
        <w:t xml:space="preserve">Договор купли-продажи имущества – </w:t>
      </w:r>
      <w:r>
        <w:rPr>
          <w:sz w:val="26"/>
          <w:szCs w:val="26"/>
        </w:rPr>
        <w:t>договор, заключаемый Продавцом с победителем Процедуры продажи, в отношении Предмета продажи.</w:t>
      </w:r>
    </w:p>
    <w:p>
      <w:pPr>
        <w:pStyle w:val="Default"/>
        <w:spacing w:before="120" w:after="120"/>
        <w:jc w:val="both"/>
        <w:rPr>
          <w:b/>
          <w:b/>
          <w:sz w:val="26"/>
          <w:szCs w:val="26"/>
        </w:rPr>
      </w:pPr>
      <w:r>
        <w:rPr>
          <w:b/>
          <w:sz w:val="26"/>
          <w:szCs w:val="26"/>
        </w:rPr>
        <w:t xml:space="preserve">Запрос предложений – </w:t>
      </w:r>
      <w:r>
        <w:rPr>
          <w:sz w:val="26"/>
          <w:szCs w:val="26"/>
        </w:rPr>
        <w:t>предусмотренная настоящей Документацией Процедура на право заключения договора купли-продажи имущества (Процедура 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pPr>
        <w:pStyle w:val="Default"/>
        <w:spacing w:before="120" w:after="120"/>
        <w:jc w:val="both"/>
        <w:rPr>
          <w:sz w:val="26"/>
          <w:szCs w:val="26"/>
        </w:rPr>
      </w:pPr>
      <w:r>
        <w:rPr>
          <w:b/>
          <w:sz w:val="26"/>
          <w:szCs w:val="26"/>
        </w:rPr>
        <w:t xml:space="preserve">Заявитель - </w:t>
      </w:r>
      <w:r>
        <w:rPr>
          <w:sz w:val="26"/>
          <w:szCs w:val="26"/>
        </w:rPr>
        <w:t>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процедурах, объявленных Организатором, и принявшим решение принять участие в настоящей Процедуре продажи.</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Процедуры продажи, создаваемая Организатором продажи.</w:t>
      </w:r>
    </w:p>
    <w:p>
      <w:pPr>
        <w:pStyle w:val="Default"/>
        <w:spacing w:before="120" w:after="120"/>
        <w:jc w:val="both"/>
        <w:rPr>
          <w:sz w:val="26"/>
          <w:szCs w:val="26"/>
        </w:rPr>
      </w:pPr>
      <w:r>
        <w:rPr>
          <w:b/>
          <w:sz w:val="26"/>
          <w:szCs w:val="26"/>
        </w:rPr>
        <w:t>Оператор ЭТП</w:t>
      </w:r>
      <w:r>
        <w:rPr>
          <w:b/>
        </w:rPr>
        <w:t xml:space="preserve"> – </w:t>
      </w:r>
      <w:r>
        <w:rPr/>
        <w:t xml:space="preserve"> </w:t>
      </w:r>
      <w:r>
        <w:rPr>
          <w:sz w:val="26"/>
          <w:szCs w:val="26"/>
        </w:rPr>
        <w:t>юридическое лицо, соответствующее требованиям законодательства РФ,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 xml:space="preserve">Организатор продажи – </w:t>
      </w:r>
      <w:r>
        <w:rPr/>
        <w:t>Продавец или лицо, которое на основе договора с Продавцом от его имени и за его счет организует и проводит процедуры продажи имущества.</w:t>
      </w:r>
    </w:p>
    <w:p>
      <w:pPr>
        <w:pStyle w:val="Normal"/>
        <w:widowControl w:val="false"/>
        <w:spacing w:before="120" w:after="120"/>
        <w:textAlignment w:val="baseline"/>
        <w:rPr>
          <w:bCs/>
          <w:color w:val="000000"/>
        </w:rPr>
      </w:pPr>
      <w:r>
        <w:rPr>
          <w:b/>
          <w:bCs/>
        </w:rPr>
        <w:t>Победитель</w:t>
      </w:r>
      <w:r>
        <w:rPr>
          <w:bCs/>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Договора (цену Заявки).</w:t>
      </w:r>
    </w:p>
    <w:p>
      <w:pPr>
        <w:pStyle w:val="Normal"/>
        <w:widowControl w:val="false"/>
        <w:spacing w:before="120" w:after="120"/>
        <w:textAlignment w:val="baseline"/>
        <w:rPr>
          <w:bCs/>
          <w:color w:val="000000"/>
        </w:rPr>
      </w:pPr>
      <w:r>
        <w:rPr>
          <w:b/>
          <w:bCs/>
        </w:rPr>
        <w:t>Покупатель</w:t>
      </w:r>
      <w:r>
        <w:rPr/>
        <w:t xml:space="preserve"> – </w:t>
      </w:r>
      <w:r>
        <w:rPr>
          <w:bCs/>
          <w:color w:val="000000"/>
        </w:rPr>
        <w:t xml:space="preserve">победитель </w:t>
      </w:r>
      <w:r>
        <w:rPr/>
        <w:t>Процедуры продажи</w:t>
      </w:r>
      <w:r>
        <w:rPr>
          <w:bCs/>
          <w:color w:val="000000"/>
        </w:rPr>
        <w:t xml:space="preserve"> либо единственный участник </w:t>
      </w:r>
      <w:r>
        <w:rPr/>
        <w:t>Процедуры продажи</w:t>
      </w:r>
      <w:r>
        <w:rPr>
          <w:bCs/>
          <w:color w:val="000000"/>
        </w:rPr>
        <w:t>,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п. 1.2.1. </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указанное в п. 1.2.5.</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функциональность ЭТП.</w:t>
      </w:r>
    </w:p>
    <w:p>
      <w:pPr>
        <w:pStyle w:val="Normal"/>
        <w:spacing w:before="120" w:after="120"/>
        <w:rPr>
          <w:color w:val="000000"/>
        </w:rPr>
      </w:pPr>
      <w:r>
        <w:rPr>
          <w:b/>
          <w:color w:val="000000"/>
        </w:rPr>
        <w:t xml:space="preserve">Участник </w:t>
      </w:r>
      <w:r>
        <w:rPr>
          <w:b/>
        </w:rPr>
        <w:t>Процедуры</w:t>
      </w:r>
      <w:r>
        <w:rPr>
          <w:b/>
          <w:color w:val="000000"/>
        </w:rPr>
        <w:t xml:space="preserve"> - </w:t>
      </w:r>
      <w:r>
        <w:rPr>
          <w:color w:val="000000"/>
        </w:rPr>
        <w:t>лицо, чья заявка признана соответствующей требованиям Документации, и принявшее участие в Процедуре в соответствии с Документацией и Регламентом ЭТП.</w:t>
      </w:r>
    </w:p>
    <w:p>
      <w:pPr>
        <w:pStyle w:val="1"/>
        <w:numPr>
          <w:ilvl w:val="0"/>
          <w:numId w:val="4"/>
        </w:numPr>
        <w:ind w:left="1134" w:hanging="1134"/>
        <w:jc w:val="center"/>
        <w:rPr>
          <w:rFonts w:ascii="Times New Roman" w:hAnsi="Times New Roman"/>
          <w:sz w:val="28"/>
          <w:szCs w:val="28"/>
        </w:rPr>
      </w:pPr>
      <w:bookmarkStart w:id="25" w:name="_Ref513721506"/>
      <w:bookmarkStart w:id="26" w:name="_Toc536798389"/>
      <w:bookmarkStart w:id="27" w:name="_Ref388516882"/>
      <w:bookmarkStart w:id="28" w:name="_Ref388516845"/>
      <w:bookmarkStart w:id="29" w:name="_Toc514455532"/>
      <w:bookmarkStart w:id="30" w:name="_Toc514445885"/>
      <w:bookmarkStart w:id="31" w:name="_Toc514455531"/>
      <w:bookmarkStart w:id="32" w:name="_Toc514445884"/>
      <w:bookmarkStart w:id="33" w:name="_Toc514455530"/>
      <w:bookmarkStart w:id="34" w:name="_Toc514445883"/>
      <w:bookmarkEnd w:id="29"/>
      <w:bookmarkEnd w:id="30"/>
      <w:bookmarkEnd w:id="31"/>
      <w:bookmarkEnd w:id="32"/>
      <w:bookmarkEnd w:id="33"/>
      <w:bookmarkEnd w:id="34"/>
      <w:r>
        <w:rPr>
          <w:rFonts w:ascii="Times New Roman" w:hAnsi="Times New Roman"/>
          <w:sz w:val="28"/>
          <w:szCs w:val="28"/>
        </w:rPr>
        <w:t xml:space="preserve">ОСНОВНЫЕ СВЕДЕНИЯ О </w:t>
      </w:r>
      <w:bookmarkEnd w:id="27"/>
      <w:bookmarkEnd w:id="28"/>
      <w:r>
        <w:rPr>
          <w:rFonts w:ascii="Times New Roman" w:hAnsi="Times New Roman"/>
          <w:sz w:val="28"/>
          <w:szCs w:val="28"/>
        </w:rPr>
        <w:t>ПРОДАЖЕ</w:t>
      </w:r>
      <w:bookmarkEnd w:id="26"/>
    </w:p>
    <w:p>
      <w:pPr>
        <w:pStyle w:val="2"/>
        <w:numPr>
          <w:ilvl w:val="1"/>
          <w:numId w:val="4"/>
        </w:numPr>
        <w:ind w:left="1134" w:hanging="1134"/>
        <w:rPr>
          <w:sz w:val="26"/>
        </w:rPr>
      </w:pPr>
      <w:bookmarkStart w:id="35" w:name="_Toc536798390"/>
      <w:r>
        <w:rPr>
          <w:sz w:val="26"/>
        </w:rPr>
        <w:t>Статус настоящего раздела</w:t>
      </w:r>
      <w:bookmarkEnd w:id="35"/>
    </w:p>
    <w:p>
      <w:pPr>
        <w:pStyle w:val="Style37"/>
        <w:numPr>
          <w:ilvl w:val="2"/>
          <w:numId w:val="20"/>
        </w:numPr>
        <w:tabs>
          <w:tab w:val="clear" w:pos="567"/>
        </w:tabs>
        <w:ind w:left="1134" w:hanging="1134"/>
        <w:rPr/>
      </w:pPr>
      <w:r>
        <w:rPr/>
        <w:t xml:space="preserve">В настоящем разделе содержатся основные сведения о Предмете продажи и иных ключевых условиях проводимой Процедуры. Более подробная информация об общем порядке проведения Процедуры и участия в ней,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 xml:space="preserve">. </w:t>
      </w:r>
    </w:p>
    <w:p>
      <w:pPr>
        <w:pStyle w:val="2"/>
        <w:numPr>
          <w:ilvl w:val="1"/>
          <w:numId w:val="4"/>
        </w:numPr>
        <w:ind w:left="1134" w:hanging="1134"/>
        <w:rPr>
          <w:sz w:val="26"/>
        </w:rPr>
      </w:pPr>
      <w:bookmarkStart w:id="36" w:name="_Toc536798391"/>
      <w:bookmarkStart w:id="37" w:name="_Toc334798694"/>
      <w:bookmarkStart w:id="38" w:name="_Toc328493354"/>
      <w:bookmarkStart w:id="39" w:name="_Toc203081977"/>
      <w:r>
        <w:rPr>
          <w:sz w:val="26"/>
        </w:rPr>
        <w:t xml:space="preserve">Информация о </w:t>
      </w:r>
      <w:bookmarkEnd w:id="37"/>
      <w:bookmarkEnd w:id="38"/>
      <w:bookmarkEnd w:id="39"/>
      <w:r>
        <w:rPr>
          <w:sz w:val="26"/>
        </w:rPr>
        <w:t xml:space="preserve">проводимой </w:t>
      </w:r>
      <w:bookmarkEnd w:id="36"/>
      <w:r>
        <w:rPr>
          <w:sz w:val="26"/>
        </w:rPr>
        <w:t>Процедуре продажи</w:t>
      </w:r>
    </w:p>
    <w:tbl>
      <w:tblPr>
        <w:tblW w:w="10093"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1305"/>
        <w:gridCol w:w="2550"/>
        <w:gridCol w:w="6238"/>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3328" w:hanging="3118"/>
              <w:rPr/>
            </w:pPr>
            <w:r>
              <w:rPr/>
            </w:r>
            <w:bookmarkStart w:id="40" w:name="_Ref249785568"/>
            <w:bookmarkStart w:id="41" w:name="_Ref249785568"/>
            <w:bookmarkEnd w:id="4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Предмет Договора</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b w:val="false"/>
                <w:sz w:val="26"/>
                <w:szCs w:val="26"/>
              </w:rPr>
            </w:pPr>
            <w:r>
              <w:rPr>
                <w:b w:val="false"/>
                <w:sz w:val="26"/>
                <w:szCs w:val="26"/>
              </w:rPr>
              <w:t>Склад смешанных товаров, площадь 406,8 кв.м., кадастровый номер 09:02:0000000:15694.</w:t>
            </w:r>
          </w:p>
          <w:p>
            <w:pPr>
              <w:pStyle w:val="Tableheader"/>
              <w:widowControl w:val="false"/>
              <w:rPr>
                <w:b w:val="false"/>
                <w:b w:val="false"/>
                <w:sz w:val="26"/>
                <w:szCs w:val="26"/>
              </w:rPr>
            </w:pPr>
            <w:r>
              <w:rPr>
                <w:b w:val="false"/>
                <w:sz w:val="26"/>
                <w:szCs w:val="26"/>
              </w:rPr>
              <w:t>Часть здания – склад, площадь 22,9 кв.м., кадастровый номер 09:02:0310101:592.</w:t>
            </w:r>
          </w:p>
          <w:p>
            <w:pPr>
              <w:pStyle w:val="Normal"/>
              <w:widowControl w:val="false"/>
              <w:spacing w:before="120" w:after="120"/>
              <w:rPr>
                <w:rStyle w:val="Style11"/>
                <w:b w:val="false"/>
                <w:b w:val="false"/>
              </w:rPr>
            </w:pPr>
            <w:r>
              <w:rPr/>
              <w:t>Адрес местонахождения: Карачаево-Черкесская Республика, Прикубанский р-н, п. Ударный, ул. Молодежная, д 11.</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3328" w:hanging="3118"/>
              <w:rPr/>
            </w:pPr>
            <w:r>
              <w:rPr/>
            </w:r>
            <w:bookmarkStart w:id="42" w:name="_Ref389745249"/>
            <w:bookmarkStart w:id="43" w:name="_Ref389745249"/>
            <w:bookmarkEnd w:id="4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Многолотовая продажа</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rStyle w:val="Style11"/>
                <w:b/>
                <w:b/>
                <w:sz w:val="26"/>
                <w:szCs w:val="26"/>
                <w:shd w:fill="auto" w:val="clear"/>
              </w:rPr>
            </w:pPr>
            <w:r>
              <w:rPr>
                <w:b w:val="false"/>
                <w:sz w:val="26"/>
                <w:szCs w:val="26"/>
              </w:rPr>
              <w:t>Нет</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3328" w:hanging="3118"/>
              <w:rPr/>
            </w:pPr>
            <w:r>
              <w:rPr/>
            </w:r>
            <w:bookmarkStart w:id="44" w:name="_Ref458187651"/>
            <w:bookmarkStart w:id="45" w:name="_Ref458187651"/>
            <w:bookmarkEnd w:id="4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Наименование и адрес ЭТП</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i/>
                <w:i/>
                <w:shd w:fill="FFFF99" w:val="clear"/>
              </w:rPr>
            </w:pPr>
            <w:r>
              <w:rPr/>
              <w:t xml:space="preserve">Электронная торговая площадка Универсальная электронная площадка РАД Lot-online </w:t>
            </w:r>
            <w:hyperlink r:id="rId2">
              <w:r>
                <w:rPr/>
                <w:t>www.https://lot-online.ru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3328" w:hanging="3118"/>
              <w:rPr/>
            </w:pPr>
            <w:r>
              <w:rPr/>
            </w:r>
            <w:bookmarkStart w:id="46" w:name="_Ref388452493"/>
            <w:bookmarkStart w:id="47" w:name="_Ref388452493"/>
            <w:bookmarkEnd w:id="47"/>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Процедуры</w:t>
            </w:r>
          </w:p>
        </w:tc>
        <w:tc>
          <w:tcPr>
            <w:tcW w:w="6238" w:type="dxa"/>
            <w:tcBorders>
              <w:top w:val="single" w:sz="4" w:space="0" w:color="000000"/>
              <w:bottom w:val="single" w:sz="4" w:space="0" w:color="000000"/>
              <w:right w:val="single" w:sz="4" w:space="0" w:color="000000"/>
            </w:tcBorders>
            <w:vAlign w:val="center"/>
          </w:tcPr>
          <w:p>
            <w:pPr>
              <w:pStyle w:val="Normal"/>
              <w:widowControl w:val="false"/>
              <w:tabs>
                <w:tab w:val="clear" w:pos="567"/>
                <w:tab w:val="left" w:pos="426" w:leader="none"/>
              </w:tabs>
              <w:spacing w:before="120" w:after="120"/>
              <w:rPr/>
            </w:pPr>
            <w:r>
              <w:rPr/>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Pr>
                <w:color w:val="000000"/>
              </w:rPr>
              <w:t>чья заявка признана соответствующей требованиям Документации о продаже</w:t>
            </w:r>
            <w:r>
              <w:rPr/>
              <w:t>.</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3328" w:hanging="3118"/>
              <w:rPr/>
            </w:pPr>
            <w:r>
              <w:rPr/>
            </w:r>
            <w:bookmarkStart w:id="48" w:name="_Ref384115722"/>
            <w:bookmarkStart w:id="49" w:name="_Ref384115722"/>
            <w:bookmarkEnd w:id="49"/>
          </w:p>
        </w:tc>
        <w:tc>
          <w:tcPr>
            <w:tcW w:w="2550" w:type="dxa"/>
            <w:tcBorders>
              <w:top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Продавец </w:t>
            </w:r>
          </w:p>
        </w:tc>
        <w:tc>
          <w:tcPr>
            <w:tcW w:w="6238"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Красноярский край, г. Красноярск, ул. Дубровинского, д. 43, корпус 1</w:t>
            </w:r>
          </w:p>
          <w:p>
            <w:pPr>
              <w:pStyle w:val="Tableheader"/>
              <w:widowControl w:val="false"/>
              <w:rPr>
                <w:b w:val="false"/>
                <w:b w:val="false"/>
                <w:sz w:val="26"/>
                <w:szCs w:val="26"/>
              </w:rPr>
            </w:pPr>
            <w:r>
              <w:rPr>
                <w:b w:val="false"/>
                <w:sz w:val="26"/>
                <w:szCs w:val="26"/>
              </w:rPr>
              <w:t xml:space="preserve">Почтовый адрес: 357115, Ставропольский край, г. Невинномысск, ул. Водопроводная д. 360а </w:t>
            </w:r>
          </w:p>
          <w:p>
            <w:pPr>
              <w:pStyle w:val="Tableheader"/>
              <w:widowControl w:val="false"/>
              <w:spacing w:before="120" w:after="120"/>
              <w:rPr>
                <w:rStyle w:val="Style11"/>
                <w:i w:val="false"/>
                <w:i w:val="false"/>
                <w:sz w:val="26"/>
                <w:szCs w:val="26"/>
                <w:shd w:fill="auto" w:val="clear"/>
              </w:rPr>
            </w:pPr>
            <w:r>
              <w:rPr>
                <w:b w:val="false"/>
                <w:sz w:val="26"/>
                <w:szCs w:val="26"/>
              </w:rPr>
              <w:t>Адрес электронной почты: kkges@rushydro.ru Контактный телефон: 8 86554 4-16-19</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3328" w:hanging="3118"/>
              <w:rPr/>
            </w:pPr>
            <w:r>
              <w:rPr/>
            </w:r>
            <w:bookmarkStart w:id="50" w:name="_Ref249842235"/>
            <w:bookmarkStart w:id="51" w:name="_Ref249842235"/>
            <w:bookmarkEnd w:id="5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Организатор продажи </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Красноярский край, г. Красноярск, ул. Дубровинского, д. 43, корпус 1</w:t>
            </w:r>
          </w:p>
          <w:p>
            <w:pPr>
              <w:pStyle w:val="Tableheader"/>
              <w:widowControl w:val="false"/>
              <w:rPr>
                <w:b w:val="false"/>
                <w:b w:val="false"/>
                <w:sz w:val="26"/>
                <w:szCs w:val="26"/>
              </w:rPr>
            </w:pPr>
            <w:r>
              <w:rPr>
                <w:b w:val="false"/>
                <w:sz w:val="26"/>
                <w:szCs w:val="26"/>
              </w:rPr>
              <w:t>Почтовый адрес: 357115, Ставропольский край, г. Невинномысск, ул. Водопроводная д. 360а</w:t>
            </w:r>
          </w:p>
          <w:p>
            <w:pPr>
              <w:pStyle w:val="Tableheader"/>
              <w:widowControl w:val="false"/>
              <w:rPr>
                <w:b w:val="false"/>
                <w:b w:val="false"/>
                <w:sz w:val="26"/>
                <w:szCs w:val="26"/>
              </w:rPr>
            </w:pPr>
            <w:r>
              <w:rPr>
                <w:b w:val="false"/>
                <w:sz w:val="26"/>
                <w:szCs w:val="26"/>
              </w:rPr>
              <w:t>Адрес электронной почты: kkges@rushydro.ru</w:t>
            </w:r>
          </w:p>
          <w:p>
            <w:pPr>
              <w:pStyle w:val="Tableheader"/>
              <w:widowControl w:val="false"/>
              <w:spacing w:before="120" w:after="120"/>
              <w:rPr>
                <w:rStyle w:val="Style11"/>
                <w:sz w:val="26"/>
                <w:szCs w:val="26"/>
              </w:rPr>
            </w:pPr>
            <w:r>
              <w:rPr>
                <w:b w:val="false"/>
                <w:sz w:val="26"/>
                <w:szCs w:val="26"/>
              </w:rPr>
              <w:t>Контактный телефон: 8 86554 4-16-19</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3328" w:hanging="3118"/>
              <w:rPr/>
            </w:pPr>
            <w:r>
              <w:rPr/>
            </w:r>
            <w:bookmarkStart w:id="52" w:name="_Ref384115792"/>
            <w:bookmarkStart w:id="53" w:name="_Ref384115792"/>
            <w:bookmarkEnd w:id="5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Представитель Организатора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120"/>
              <w:rPr>
                <w:b w:val="false"/>
                <w:b w:val="false"/>
                <w:sz w:val="26"/>
                <w:szCs w:val="26"/>
              </w:rPr>
            </w:pPr>
            <w:r>
              <w:rPr>
                <w:b w:val="false"/>
                <w:sz w:val="26"/>
                <w:szCs w:val="26"/>
              </w:rPr>
              <w:t>Контактное лицо (Ф.И.О.): Левичев Антон Олегович Контактный телефон: 8 86554 4-16-19</w:t>
            </w:r>
          </w:p>
          <w:p>
            <w:pPr>
              <w:pStyle w:val="Tableheader"/>
              <w:widowControl w:val="false"/>
              <w:spacing w:before="120" w:after="120"/>
              <w:rPr>
                <w:rStyle w:val="Style11"/>
                <w:i w:val="false"/>
                <w:i w:val="false"/>
                <w:sz w:val="26"/>
                <w:szCs w:val="26"/>
                <w:shd w:fill="auto" w:val="clear"/>
              </w:rPr>
            </w:pPr>
            <w:r>
              <w:rPr>
                <w:b w:val="false"/>
                <w:sz w:val="26"/>
                <w:szCs w:val="26"/>
              </w:rPr>
              <w:t>Адрес электронной почты: LevichevAO@rushydro.ru</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3328" w:hanging="3118"/>
              <w:rPr/>
            </w:pPr>
            <w:r>
              <w:rPr/>
            </w:r>
            <w:bookmarkStart w:id="54" w:name="_Ref514462143"/>
            <w:bookmarkStart w:id="55" w:name="_Ref514462143"/>
            <w:bookmarkEnd w:id="5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Официальный источник размещения информации о проведении Процедуры</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0"/>
              <w:rPr/>
            </w:pPr>
            <w:r>
              <w:rPr/>
              <w:t>Официальным источником информации о ходе проведения Процедуры является Электронная торговая площадка Универсальная электронная площадка РАД Lot-online.</w:t>
            </w:r>
          </w:p>
          <w:p>
            <w:pPr>
              <w:pStyle w:val="Normal"/>
              <w:widowControl w:val="false"/>
              <w:tabs>
                <w:tab w:val="clear" w:pos="567"/>
                <w:tab w:val="left" w:pos="426" w:leader="none"/>
              </w:tabs>
              <w:rPr>
                <w:rFonts w:eastAsia="Lucida Sans Unicode"/>
                <w:i/>
                <w:i/>
                <w:kern w:val="2"/>
                <w:shd w:fill="FFFF99" w:val="clear"/>
              </w:rPr>
            </w:pPr>
            <w:r>
              <w:rPr/>
              <w:t>Регламент ЭТП, в соответствии с которым проводится Процедура, размещен по адресу: www.https://lot-online.ru</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918" w:hanging="708"/>
              <w:rPr/>
            </w:pPr>
            <w:r>
              <w:rPr/>
            </w:r>
            <w:bookmarkStart w:id="56" w:name="_Ref384115739"/>
            <w:bookmarkStart w:id="57" w:name="_Ref384115739"/>
            <w:bookmarkEnd w:id="57"/>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Дата размещения Извещения о проведении Процедуры</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rStyle w:val="Style11"/>
                <w:b w:val="false"/>
                <w:b w:val="false"/>
              </w:rPr>
            </w:pPr>
            <w:r>
              <w:rPr/>
              <w:t xml:space="preserve">13.06.2023 г.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918" w:hanging="708"/>
              <w:rPr/>
            </w:pPr>
            <w:r>
              <w:rPr/>
            </w:r>
            <w:bookmarkStart w:id="58" w:name="_Ref384116250"/>
            <w:bookmarkStart w:id="59" w:name="_Ref384116250"/>
            <w:bookmarkEnd w:id="5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Начальная цена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rStyle w:val="Style11"/>
                <w:b w:val="false"/>
                <w:b w:val="false"/>
              </w:rPr>
            </w:pPr>
            <w:r>
              <w:rPr/>
              <w:t>60 000 (шестьдесят тысяч) рублей с учетом НДС (20%)</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918" w:hanging="708"/>
              <w:rPr/>
            </w:pPr>
            <w:r>
              <w:rPr/>
            </w:r>
            <w:bookmarkStart w:id="60" w:name="_Ref513811076"/>
            <w:bookmarkStart w:id="61" w:name="_Ref513811076"/>
            <w:bookmarkEnd w:id="6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11"/>
                <w:b w:val="false"/>
                <w:b w:val="false"/>
                <w:i w:val="false"/>
                <w:i w:val="false"/>
                <w:sz w:val="26"/>
                <w:szCs w:val="26"/>
                <w:shd w:fill="auto" w:val="clear"/>
              </w:rPr>
            </w:pPr>
            <w:r>
              <w:rPr>
                <w:sz w:val="26"/>
                <w:szCs w:val="26"/>
              </w:rPr>
              <w:t>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918" w:hanging="708"/>
              <w:rPr/>
            </w:pPr>
            <w:r>
              <w:rPr/>
            </w:r>
            <w:bookmarkStart w:id="62" w:name="_Ref513817350"/>
            <w:bookmarkStart w:id="63" w:name="_Ref513817350"/>
            <w:bookmarkEnd w:id="6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и время окончания срока предоставления разъяснений:</w:t>
            </w:r>
          </w:p>
          <w:p>
            <w:pPr>
              <w:pStyle w:val="Tabletext"/>
              <w:widowControl w:val="false"/>
              <w:spacing w:before="120" w:after="120"/>
              <w:rPr>
                <w:sz w:val="26"/>
                <w:szCs w:val="26"/>
              </w:rPr>
            </w:pPr>
            <w:r>
              <w:rPr>
                <w:sz w:val="26"/>
                <w:szCs w:val="26"/>
              </w:rPr>
              <w:t xml:space="preserve">«12» июля 2023 г. в 13 ч. 00_мин. </w:t>
            </w:r>
          </w:p>
          <w:p>
            <w:pPr>
              <w:pStyle w:val="Tabletext"/>
              <w:widowControl w:val="false"/>
              <w:spacing w:before="120" w:after="120"/>
              <w:rPr>
                <w:b/>
                <w:b/>
                <w:i/>
                <w:i/>
                <w:shd w:fill="FFFF99" w:val="clear"/>
              </w:rPr>
            </w:pPr>
            <w:r>
              <w:rPr>
                <w:sz w:val="26"/>
                <w:szCs w:val="26"/>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Pr>
                <w:sz w:val="26"/>
                <w:szCs w:val="26"/>
              </w:rPr>
              <w:fldChar w:fldCharType="begin"/>
            </w:r>
            <w:r>
              <w:rPr>
                <w:sz w:val="26"/>
                <w:szCs w:val="26"/>
              </w:rPr>
              <w:instrText xml:space="preserve"> REF _Ref389823218 \r \h </w:instrText>
            </w:r>
            <w:r>
              <w:rPr>
                <w:sz w:val="26"/>
                <w:szCs w:val="26"/>
              </w:rPr>
              <w:fldChar w:fldCharType="separate"/>
            </w:r>
            <w:r>
              <w:rPr>
                <w:sz w:val="26"/>
                <w:szCs w:val="26"/>
              </w:rPr>
              <w:t>1.2.13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918" w:hanging="708"/>
              <w:rPr/>
            </w:pPr>
            <w:r>
              <w:rPr/>
            </w:r>
            <w:bookmarkStart w:id="64" w:name="_Ref389823218"/>
            <w:bookmarkStart w:id="65" w:name="_Ref389823218"/>
            <w:bookmarkEnd w:id="6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Дата начала – дата и время окончания срока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начала подачи заявок:</w:t>
            </w:r>
          </w:p>
          <w:p>
            <w:pPr>
              <w:pStyle w:val="Normal"/>
              <w:widowControl w:val="false"/>
              <w:spacing w:before="120" w:after="120"/>
              <w:rPr/>
            </w:pPr>
            <w:r>
              <w:rPr/>
              <w:t>«13» июня 2023 г. </w:t>
            </w:r>
          </w:p>
          <w:p>
            <w:pPr>
              <w:pStyle w:val="Normal"/>
              <w:widowControl w:val="false"/>
              <w:rPr/>
            </w:pPr>
            <w:r>
              <w:rPr/>
              <w:t>Дата и время окончания срока подачи заявок:</w:t>
            </w:r>
          </w:p>
          <w:p>
            <w:pPr>
              <w:pStyle w:val="Tabletext"/>
              <w:widowControl w:val="false"/>
              <w:spacing w:before="120" w:after="120"/>
              <w:rPr>
                <w:rStyle w:val="Style11"/>
                <w:b w:val="false"/>
                <w:b w:val="false"/>
                <w:i w:val="false"/>
                <w:i w:val="false"/>
                <w:sz w:val="26"/>
                <w:szCs w:val="26"/>
                <w:shd w:fill="auto" w:val="clear"/>
              </w:rPr>
            </w:pPr>
            <w:r>
              <w:rPr>
                <w:sz w:val="26"/>
                <w:szCs w:val="26"/>
              </w:rPr>
              <w:t>«14» июля 2023 г. в 13 ч. 00 мин. по московскому времени.</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918" w:hanging="708"/>
              <w:rPr/>
            </w:pPr>
            <w:r>
              <w:rPr/>
            </w:r>
            <w:bookmarkStart w:id="66" w:name="_Ref334789513"/>
            <w:bookmarkStart w:id="67" w:name="_Ref334789513"/>
            <w:bookmarkEnd w:id="67"/>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Дата подведения итогов Процедуры </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120"/>
              <w:rPr>
                <w:sz w:val="26"/>
                <w:szCs w:val="26"/>
              </w:rPr>
            </w:pPr>
            <w:r>
              <w:rPr>
                <w:sz w:val="26"/>
                <w:szCs w:val="26"/>
              </w:rPr>
              <w:t xml:space="preserve"> </w:t>
            </w:r>
            <w:r>
              <w:rPr>
                <w:sz w:val="26"/>
                <w:szCs w:val="26"/>
              </w:rPr>
              <w:t xml:space="preserve">«18» июля 2023 г. </w:t>
            </w:r>
          </w:p>
          <w:p>
            <w:pPr>
              <w:pStyle w:val="Tabletext"/>
              <w:widowControl w:val="false"/>
              <w:spacing w:before="120" w:after="120"/>
              <w:rPr>
                <w:sz w:val="26"/>
                <w:szCs w:val="26"/>
              </w:rPr>
            </w:pPr>
            <w:r>
              <w:rPr>
                <w:sz w:val="26"/>
                <w:szCs w:val="26"/>
              </w:rPr>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567"/>
                <w:tab w:val="left" w:pos="777" w:leader="none"/>
              </w:tabs>
              <w:spacing w:before="120" w:after="0"/>
              <w:ind w:left="918" w:hanging="708"/>
              <w:rPr/>
            </w:pPr>
            <w:r>
              <w:rPr/>
            </w:r>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w:t>
            </w:r>
          </w:p>
        </w:tc>
        <w:tc>
          <w:tcPr>
            <w:tcW w:w="6238"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120"/>
              <w:rPr>
                <w:sz w:val="26"/>
                <w:szCs w:val="26"/>
              </w:rPr>
            </w:pPr>
            <w:r>
              <w:rPr>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w:t>
            </w:r>
          </w:p>
          <w:p>
            <w:pPr>
              <w:pStyle w:val="Tabletext"/>
              <w:widowControl w:val="false"/>
              <w:spacing w:before="120" w:after="120"/>
              <w:rPr>
                <w:sz w:val="26"/>
                <w:szCs w:val="26"/>
              </w:rPr>
            </w:pPr>
            <w:r>
              <w:rPr>
                <w:sz w:val="26"/>
                <w:szCs w:val="26"/>
              </w:rPr>
              <w:t>Победителем Процедуры признается Участник Процедуры, предложивший наиболее высокую цену договора (цену заявки).</w:t>
            </w:r>
          </w:p>
          <w:p>
            <w:pPr>
              <w:pStyle w:val="Tabletext"/>
              <w:widowControl w:val="false"/>
              <w:spacing w:before="120" w:after="120"/>
              <w:rPr>
                <w:sz w:val="26"/>
                <w:szCs w:val="26"/>
              </w:rPr>
            </w:pPr>
            <w:r>
              <w:rPr>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pPr>
        <w:pStyle w:val="1"/>
        <w:numPr>
          <w:ilvl w:val="0"/>
          <w:numId w:val="4"/>
        </w:numPr>
        <w:ind w:left="1134" w:hanging="1134"/>
        <w:jc w:val="center"/>
        <w:rPr>
          <w:rFonts w:ascii="Times New Roman" w:hAnsi="Times New Roman"/>
          <w:sz w:val="28"/>
          <w:szCs w:val="28"/>
        </w:rPr>
      </w:pPr>
      <w:bookmarkStart w:id="68" w:name="_Toc55193146"/>
      <w:bookmarkStart w:id="69" w:name="_Toc518119233"/>
      <w:bookmarkStart w:id="70" w:name="_Toc517582613"/>
      <w:bookmarkStart w:id="71" w:name="_Toc517582289"/>
      <w:bookmarkStart w:id="72" w:name="_Toc536798392"/>
      <w:bookmarkStart w:id="73" w:name="_Ref514448858"/>
      <w:r>
        <w:rPr>
          <w:rFonts w:ascii="Times New Roman" w:hAnsi="Times New Roman"/>
          <w:sz w:val="28"/>
          <w:szCs w:val="28"/>
        </w:rPr>
        <w:t xml:space="preserve">ОБЩИЕ </w:t>
      </w:r>
      <w:bookmarkEnd w:id="68"/>
      <w:bookmarkEnd w:id="69"/>
      <w:bookmarkEnd w:id="70"/>
      <w:bookmarkEnd w:id="71"/>
      <w:r>
        <w:rPr>
          <w:rFonts w:ascii="Times New Roman" w:hAnsi="Times New Roman"/>
          <w:sz w:val="28"/>
          <w:szCs w:val="28"/>
        </w:rPr>
        <w:t>ПОЛОЖЕНИЯ</w:t>
      </w:r>
      <w:bookmarkEnd w:id="3"/>
      <w:bookmarkEnd w:id="4"/>
      <w:bookmarkEnd w:id="5"/>
      <w:bookmarkEnd w:id="6"/>
      <w:bookmarkEnd w:id="7"/>
      <w:bookmarkEnd w:id="8"/>
      <w:bookmarkEnd w:id="9"/>
      <w:bookmarkEnd w:id="10"/>
      <w:bookmarkEnd w:id="11"/>
      <w:bookmarkEnd w:id="12"/>
      <w:bookmarkEnd w:id="13"/>
      <w:bookmarkEnd w:id="14"/>
      <w:bookmarkEnd w:id="25"/>
      <w:bookmarkEnd w:id="72"/>
      <w:bookmarkEnd w:id="73"/>
    </w:p>
    <w:p>
      <w:pPr>
        <w:pStyle w:val="2"/>
        <w:numPr>
          <w:ilvl w:val="1"/>
          <w:numId w:val="4"/>
        </w:numPr>
        <w:ind w:left="1134" w:hanging="1134"/>
        <w:rPr>
          <w:sz w:val="26"/>
        </w:rPr>
      </w:pPr>
      <w:bookmarkStart w:id="74" w:name="_Toc536798393"/>
      <w:bookmarkStart w:id="75" w:name="_Toc69728941"/>
      <w:bookmarkStart w:id="76" w:name="_Toc57314615"/>
      <w:bookmarkStart w:id="77" w:name="_Toc55305369"/>
      <w:bookmarkStart w:id="78" w:name="_Toc55285335"/>
      <w:r>
        <w:rPr>
          <w:sz w:val="26"/>
        </w:rPr>
        <w:t xml:space="preserve">Общие сведения </w:t>
      </w:r>
      <w:bookmarkEnd w:id="75"/>
      <w:bookmarkEnd w:id="76"/>
      <w:bookmarkEnd w:id="77"/>
      <w:bookmarkEnd w:id="78"/>
      <w:r>
        <w:rPr>
          <w:sz w:val="26"/>
        </w:rPr>
        <w:t>о продаже</w:t>
      </w:r>
      <w:bookmarkEnd w:id="74"/>
    </w:p>
    <w:p>
      <w:pPr>
        <w:pStyle w:val="Style37"/>
        <w:numPr>
          <w:ilvl w:val="2"/>
          <w:numId w:val="4"/>
        </w:numPr>
        <w:tabs>
          <w:tab w:val="clear" w:pos="567"/>
        </w:tabs>
        <w:ind w:left="1134" w:hanging="1134"/>
        <w:rPr/>
      </w:pPr>
      <w:bookmarkStart w:id="79" w:name="Общие_сведения"/>
      <w:bookmarkStart w:id="80" w:name="_Ref55193512"/>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_Ref384115739 \r \h </w:instrText>
      </w:r>
      <w:r>
        <w:rPr/>
        <w:fldChar w:fldCharType="separate"/>
      </w:r>
      <w:r>
        <w:rPr/>
        <w:t>1.2.9</w:t>
      </w:r>
      <w:r>
        <w:rPr/>
        <w:fldChar w:fldCharType="end"/>
      </w:r>
      <w:r>
        <w:rPr/>
        <w:t xml:space="preserve">, приглашает лиц, указанных в пункте </w:t>
      </w:r>
      <w:r>
        <w:rPr/>
        <w:fldChar w:fldCharType="begin"/>
      </w:r>
      <w:r>
        <w:rPr/>
        <w:instrText xml:space="preserve"> REF _Ref388452493 \r \h </w:instrText>
      </w:r>
      <w:r>
        <w:rPr/>
        <w:fldChar w:fldCharType="separate"/>
      </w:r>
      <w:r>
        <w:rPr/>
        <w:t>1.2.4</w:t>
      </w:r>
      <w:r>
        <w:rPr/>
        <w:fldChar w:fldCharType="end"/>
      </w:r>
      <w:r>
        <w:rPr/>
        <w:t xml:space="preserve">, к участию в Процедуре </w:t>
      </w:r>
      <w:bookmarkEnd w:id="79"/>
      <w:bookmarkEnd w:id="80"/>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37"/>
        <w:numPr>
          <w:ilvl w:val="2"/>
          <w:numId w:val="4"/>
        </w:numPr>
        <w:tabs>
          <w:tab w:val="clear" w:pos="567"/>
        </w:tabs>
        <w:ind w:left="1134" w:hanging="1134"/>
        <w:rPr/>
      </w:pPr>
      <w:r>
        <w:rPr/>
        <w:t>Процедура не является торгами с точки зрения ГК РФ, вследствие чего Организатор и/или Продавец не принимают на себя безоговорочных обязательств по заключению Договора. Если даже лучшая из заявок Участников будет сочтена Организатором и/или Продавцом невыгодной, Организатор вправе завершить Процедуру без выбора Победителя и заключения Договора.</w:t>
      </w:r>
    </w:p>
    <w:p>
      <w:pPr>
        <w:pStyle w:val="Style37"/>
        <w:numPr>
          <w:ilvl w:val="2"/>
          <w:numId w:val="4"/>
        </w:numPr>
        <w:tabs>
          <w:tab w:val="clear" w:pos="567"/>
        </w:tabs>
        <w:ind w:left="1134" w:hanging="1134"/>
        <w:rPr/>
      </w:pPr>
      <w:r>
        <w:rPr/>
        <w:t xml:space="preserve">Для справок следует обращаться к представителю Организатора, указанному в пункте </w:t>
      </w:r>
      <w:r>
        <w:rPr/>
        <w:fldChar w:fldCharType="begin"/>
      </w:r>
      <w:r>
        <w:rPr/>
        <w:instrText xml:space="preserve"> REF _Ref384115792 \r \h </w:instrText>
      </w:r>
      <w:r>
        <w:rPr/>
        <w:fldChar w:fldCharType="separate"/>
      </w:r>
      <w:r>
        <w:rPr/>
        <w:t>1.2.7</w:t>
      </w:r>
      <w:r>
        <w:rPr/>
        <w:fldChar w:fldCharType="end"/>
      </w:r>
      <w:r>
        <w:rPr/>
        <w:t>.</w:t>
      </w:r>
    </w:p>
    <w:p>
      <w:pPr>
        <w:pStyle w:val="2"/>
        <w:numPr>
          <w:ilvl w:val="1"/>
          <w:numId w:val="4"/>
        </w:numPr>
        <w:ind w:left="1134" w:hanging="1134"/>
        <w:rPr>
          <w:sz w:val="26"/>
        </w:rPr>
      </w:pPr>
      <w:bookmarkStart w:id="81" w:name="_Toc518119237"/>
      <w:bookmarkStart w:id="82" w:name="_Toc536798394"/>
      <w:bookmarkStart w:id="83" w:name="_Toc69728943"/>
      <w:bookmarkStart w:id="84" w:name="_Toc57314617"/>
      <w:bookmarkStart w:id="85" w:name="_Ref56231144"/>
      <w:bookmarkStart w:id="86" w:name="_Ref56231140"/>
      <w:bookmarkStart w:id="87" w:name="_Ref55313246"/>
      <w:bookmarkStart w:id="88" w:name="_Toc55305370"/>
      <w:bookmarkStart w:id="89" w:name="_Toc55285336"/>
      <w:bookmarkStart w:id="90" w:name="_Toc514455538"/>
      <w:bookmarkEnd w:id="81"/>
      <w:bookmarkEnd w:id="90"/>
      <w:r>
        <w:rPr>
          <w:sz w:val="26"/>
        </w:rPr>
        <w:t>Правовой статус документов</w:t>
      </w:r>
      <w:bookmarkEnd w:id="82"/>
      <w:bookmarkEnd w:id="83"/>
      <w:bookmarkEnd w:id="84"/>
      <w:bookmarkEnd w:id="85"/>
      <w:bookmarkEnd w:id="86"/>
      <w:bookmarkEnd w:id="87"/>
      <w:bookmarkEnd w:id="88"/>
      <w:bookmarkEnd w:id="89"/>
    </w:p>
    <w:p>
      <w:pPr>
        <w:pStyle w:val="Style37"/>
        <w:numPr>
          <w:ilvl w:val="2"/>
          <w:numId w:val="21"/>
        </w:numPr>
        <w:tabs>
          <w:tab w:val="clear" w:pos="567"/>
        </w:tabs>
        <w:ind w:left="1134" w:hanging="1134"/>
        <w:rPr/>
      </w:pPr>
      <w:bookmarkStart w:id="91" w:name="_Toc518119237"/>
      <w:bookmarkStart w:id="92" w:name="_Toc66354324"/>
      <w:bookmarkStart w:id="93" w:name="_Toc69728944"/>
      <w:bookmarkStart w:id="94" w:name="_Toc57314619"/>
      <w:bookmarkStart w:id="95" w:name="_Toc55305373"/>
      <w:bookmarkStart w:id="96" w:name="_Toc55285339"/>
      <w:bookmarkEnd w:id="91"/>
      <w:bookmarkEnd w:id="92"/>
      <w:bookmarkEnd w:id="93"/>
      <w:bookmarkEnd w:id="94"/>
      <w:bookmarkEnd w:id="95"/>
      <w:bookmarkEnd w:id="96"/>
      <w:r>
        <w:rPr/>
        <w:t xml:space="preserve">Документация о продаже вместе с Извещением, являющимся ее неотъемлемой частью, являются приглашением Организатора делать оферты в соответствии со статьей 437 ГК РФ и должны рассматриваться участниками в соответствии с этим до подведения итогов Процедуры. </w:t>
      </w:r>
    </w:p>
    <w:p>
      <w:pPr>
        <w:pStyle w:val="Style37"/>
        <w:numPr>
          <w:ilvl w:val="2"/>
          <w:numId w:val="22"/>
        </w:numPr>
        <w:tabs>
          <w:tab w:val="clear" w:pos="567"/>
        </w:tabs>
        <w:ind w:left="1134" w:hanging="1134"/>
        <w:rPr/>
      </w:pPr>
      <w:r>
        <w:rPr/>
        <w:t>Заявка Заявителя / Участника в соответствии со ст. 437 ГК РФ является его офертой.</w:t>
      </w:r>
    </w:p>
    <w:p>
      <w:pPr>
        <w:pStyle w:val="2"/>
        <w:numPr>
          <w:ilvl w:val="1"/>
          <w:numId w:val="4"/>
        </w:numPr>
        <w:ind w:left="1134" w:hanging="1134"/>
        <w:rPr>
          <w:sz w:val="26"/>
        </w:rPr>
      </w:pPr>
      <w:bookmarkStart w:id="97" w:name="_Toc66354324"/>
      <w:bookmarkStart w:id="98" w:name="_Toc69728944"/>
      <w:bookmarkStart w:id="99" w:name="_Toc57314619"/>
      <w:bookmarkStart w:id="100" w:name="_Toc55305373"/>
      <w:bookmarkStart w:id="101" w:name="_Toc55285339"/>
      <w:bookmarkStart w:id="102" w:name="_Toc69728946"/>
      <w:bookmarkStart w:id="103" w:name="_Toc57314621"/>
      <w:bookmarkStart w:id="104" w:name="_Toc55305372"/>
      <w:bookmarkStart w:id="105" w:name="_Toc55285338"/>
      <w:bookmarkStart w:id="106" w:name="_Toc536798395"/>
      <w:bookmarkStart w:id="107" w:name="_Ref514509614"/>
      <w:bookmarkStart w:id="108" w:name="_Toc502257141"/>
      <w:bookmarkStart w:id="109" w:name="_Toc501038041"/>
      <w:bookmarkEnd w:id="97"/>
      <w:bookmarkEnd w:id="98"/>
      <w:bookmarkEnd w:id="99"/>
      <w:bookmarkEnd w:id="100"/>
      <w:bookmarkEnd w:id="101"/>
      <w:bookmarkEnd w:id="108"/>
      <w:bookmarkEnd w:id="109"/>
      <w:r>
        <w:rPr>
          <w:sz w:val="26"/>
        </w:rPr>
        <w:t>Особые положения при проведении Процедуры с использованием ЭТП</w:t>
      </w:r>
      <w:bookmarkEnd w:id="106"/>
      <w:bookmarkEnd w:id="107"/>
    </w:p>
    <w:p>
      <w:pPr>
        <w:pStyle w:val="Style37"/>
        <w:numPr>
          <w:ilvl w:val="2"/>
          <w:numId w:val="4"/>
        </w:numPr>
        <w:tabs>
          <w:tab w:val="clear" w:pos="567"/>
        </w:tabs>
        <w:ind w:left="1134" w:hanging="1134"/>
        <w:rPr/>
      </w:pPr>
      <w:r>
        <w:rPr/>
        <w:t xml:space="preserve">Наименование ЭТП, посредством которой проводится Процедура, указано в пункте </w:t>
      </w:r>
      <w:r>
        <w:rPr/>
        <w:fldChar w:fldCharType="begin"/>
      </w:r>
      <w:r>
        <w:rPr/>
        <w:instrText xml:space="preserve"> REF _Ref458187651 \r \h </w:instrText>
      </w:r>
      <w:r>
        <w:rPr/>
        <w:fldChar w:fldCharType="separate"/>
      </w:r>
      <w:r>
        <w:rPr/>
        <w:t>1.2.3</w:t>
      </w:r>
      <w:r>
        <w:rPr/>
        <w:fldChar w:fldCharType="end"/>
      </w:r>
      <w:r>
        <w:rPr/>
        <w:t xml:space="preserve"> До подачи заявки Заявитель обязан ознакомиться с Регламентом ЭТП.</w:t>
      </w:r>
    </w:p>
    <w:p>
      <w:pPr>
        <w:pStyle w:val="Style37"/>
        <w:numPr>
          <w:ilvl w:val="2"/>
          <w:numId w:val="4"/>
        </w:numPr>
        <w:tabs>
          <w:tab w:val="clear" w:pos="567"/>
        </w:tabs>
        <w:ind w:left="1134" w:hanging="1134"/>
        <w:rPr/>
      </w:pPr>
      <w:r>
        <w:rPr/>
        <w:t>Для участия в Процедуре Заявитель должен пройти процедуру регистрации (аккредитации) на ЭТП. Аккредитация осуществляется Оператором ЭТП, и Организатор не несет ответственности за результат ее прохождения Заявителем, в том числе понесенные им затраты.</w:t>
      </w:r>
    </w:p>
    <w:p>
      <w:pPr>
        <w:pStyle w:val="Style37"/>
        <w:numPr>
          <w:ilvl w:val="2"/>
          <w:numId w:val="4"/>
        </w:numPr>
        <w:tabs>
          <w:tab w:val="clear" w:pos="567"/>
        </w:tabs>
        <w:ind w:left="1134" w:hanging="1134"/>
        <w:rPr/>
      </w:pPr>
      <w:r>
        <w:rPr/>
        <w:t>Обмен между Заявителем / Участником, Продавцом / Организатором и Оператором ЭТП всей информацией, связанной с проведением Процедуры, осуществляется на ЭТП в форме электронных документов в соответствии с Регламентом ЭТП.</w:t>
      </w:r>
    </w:p>
    <w:p>
      <w:pPr>
        <w:pStyle w:val="Style37"/>
        <w:widowControl w:val="false"/>
        <w:numPr>
          <w:ilvl w:val="2"/>
          <w:numId w:val="4"/>
        </w:numPr>
        <w:tabs>
          <w:tab w:val="clear" w:pos="567"/>
        </w:tabs>
        <w:ind w:left="1134" w:hanging="1134"/>
        <w:rPr/>
      </w:pPr>
      <w:r>
        <w:rPr/>
        <w:t>Цена заявки и иные условия Процедуры продажи,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2"/>
        <w:numPr>
          <w:ilvl w:val="1"/>
          <w:numId w:val="4"/>
        </w:numPr>
        <w:ind w:left="1134" w:hanging="1134"/>
        <w:rPr>
          <w:sz w:val="26"/>
        </w:rPr>
      </w:pPr>
      <w:bookmarkStart w:id="110" w:name="_Toc55305372"/>
      <w:bookmarkStart w:id="111" w:name="_Toc55285338"/>
      <w:bookmarkStart w:id="112" w:name="_Toc536798396"/>
      <w:r>
        <w:rPr>
          <w:sz w:val="26"/>
        </w:rPr>
        <w:t xml:space="preserve">Прочие </w:t>
      </w:r>
      <w:bookmarkEnd w:id="110"/>
      <w:bookmarkEnd w:id="111"/>
      <w:r>
        <w:rPr>
          <w:sz w:val="26"/>
        </w:rPr>
        <w:t>положения</w:t>
      </w:r>
      <w:bookmarkEnd w:id="102"/>
      <w:bookmarkEnd w:id="103"/>
      <w:bookmarkEnd w:id="112"/>
    </w:p>
    <w:p>
      <w:pPr>
        <w:pStyle w:val="Style37"/>
        <w:numPr>
          <w:ilvl w:val="2"/>
          <w:numId w:val="4"/>
        </w:numPr>
        <w:tabs>
          <w:tab w:val="clear" w:pos="567"/>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37"/>
        <w:numPr>
          <w:ilvl w:val="2"/>
          <w:numId w:val="4"/>
        </w:numPr>
        <w:tabs>
          <w:tab w:val="clear" w:pos="567"/>
          <w:tab w:val="left" w:pos="3828" w:leader="none"/>
        </w:tabs>
        <w:ind w:left="1134" w:hanging="1134"/>
        <w:rPr/>
      </w:pPr>
      <w:r>
        <w:rP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либо оказывал на этих лиц давление в иной форме. </w:t>
      </w:r>
    </w:p>
    <w:p>
      <w:pPr>
        <w:pStyle w:val="1"/>
        <w:numPr>
          <w:ilvl w:val="0"/>
          <w:numId w:val="4"/>
        </w:numPr>
        <w:ind w:left="1134" w:hanging="1134"/>
        <w:jc w:val="center"/>
        <w:rPr>
          <w:rFonts w:ascii="Times New Roman" w:hAnsi="Times New Roman"/>
          <w:caps/>
          <w:kern w:val="0"/>
          <w:sz w:val="26"/>
        </w:rPr>
      </w:pPr>
      <w:bookmarkStart w:id="113" w:name="ИНСТРУКЦИИ"/>
      <w:bookmarkStart w:id="114" w:name="_Toc69728963"/>
      <w:bookmarkStart w:id="115" w:name="_Toc57314640"/>
      <w:bookmarkStart w:id="116" w:name="_Toc55305378"/>
      <w:bookmarkStart w:id="117" w:name="_Ref55300680"/>
      <w:bookmarkStart w:id="118" w:name="_Ref93088240"/>
      <w:bookmarkStart w:id="119" w:name="_Ref514453315"/>
      <w:bookmarkStart w:id="120" w:name="_Toc536798397"/>
      <w:bookmarkStart w:id="121" w:name="_Toc311803629"/>
      <w:bookmarkStart w:id="122" w:name="_Toc197150336"/>
      <w:bookmarkStart w:id="123" w:name="_Toc197149867"/>
      <w:bookmarkEnd w:id="113"/>
      <w:bookmarkEnd w:id="121"/>
      <w:bookmarkEnd w:id="122"/>
      <w:bookmarkEnd w:id="123"/>
      <w:r>
        <w:rPr>
          <w:rFonts w:ascii="Times New Roman" w:hAnsi="Times New Roman"/>
          <w:caps/>
          <w:kern w:val="0"/>
          <w:sz w:val="26"/>
        </w:rPr>
        <w:t>ПРЕДМЕТ ПРОДАЖИ</w:t>
      </w:r>
      <w:bookmarkEnd w:id="120"/>
    </w:p>
    <w:p>
      <w:pPr>
        <w:pStyle w:val="2"/>
        <w:numPr>
          <w:ilvl w:val="1"/>
          <w:numId w:val="4"/>
        </w:numPr>
        <w:tabs>
          <w:tab w:val="clear" w:pos="1560"/>
        </w:tabs>
        <w:ind w:left="1134" w:hanging="1134"/>
        <w:rPr>
          <w:sz w:val="26"/>
        </w:rPr>
      </w:pPr>
      <w:bookmarkStart w:id="124" w:name="_Toc536798398"/>
      <w:r>
        <w:rPr>
          <w:sz w:val="26"/>
        </w:rPr>
        <w:t>Информация о Предмете продажи</w:t>
      </w:r>
      <w:bookmarkEnd w:id="124"/>
      <w:r>
        <w:rPr>
          <w:sz w:val="26"/>
        </w:rPr>
        <w:t xml:space="preserve"> </w:t>
      </w:r>
    </w:p>
    <w:p>
      <w:pPr>
        <w:pStyle w:val="Style37"/>
        <w:numPr>
          <w:ilvl w:val="2"/>
          <w:numId w:val="4"/>
        </w:numPr>
        <w:tabs>
          <w:tab w:val="clear" w:pos="567"/>
          <w:tab w:val="left" w:pos="3828" w:leader="none"/>
        </w:tabs>
        <w:ind w:left="1134" w:hanging="1134"/>
        <w:rPr/>
      </w:pPr>
      <w:bookmarkStart w:id="125" w:name="_Ref536798160"/>
      <w:r>
        <w:rPr/>
        <w:t>Предметом продажи является имущество в составе нижеследующих лотов:</w:t>
      </w:r>
      <w:bookmarkEnd w:id="125"/>
    </w:p>
    <w:tbl>
      <w:tblPr>
        <w:tblStyle w:val="affc"/>
        <w:tblW w:w="9492" w:type="dxa"/>
        <w:jc w:val="left"/>
        <w:tblInd w:w="709" w:type="dxa"/>
        <w:tblLayout w:type="fixed"/>
        <w:tblCellMar>
          <w:top w:w="0" w:type="dxa"/>
          <w:left w:w="108" w:type="dxa"/>
          <w:bottom w:w="0" w:type="dxa"/>
          <w:right w:w="108" w:type="dxa"/>
        </w:tblCellMar>
        <w:tblLook w:val="04a0" w:noVBand="1" w:noHBand="0" w:lastColumn="0" w:firstColumn="1" w:lastRow="0" w:firstRow="1"/>
      </w:tblPr>
      <w:tblGrid>
        <w:gridCol w:w="668"/>
        <w:gridCol w:w="1881"/>
        <w:gridCol w:w="2196"/>
        <w:gridCol w:w="2674"/>
        <w:gridCol w:w="2073"/>
      </w:tblGrid>
      <w:tr>
        <w:trPr/>
        <w:tc>
          <w:tcPr>
            <w:tcW w:w="668" w:type="dxa"/>
            <w:tcBorders/>
          </w:tcPr>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 </w:t>
            </w:r>
            <w:r>
              <w:rPr>
                <w:rFonts w:eastAsia="Times New Roman" w:cs="Times New Roman"/>
                <w:kern w:val="0"/>
                <w:sz w:val="26"/>
                <w:szCs w:val="26"/>
                <w:lang w:val="ru-RU" w:eastAsia="ru-RU" w:bidi="ar-SA"/>
              </w:rPr>
              <w:t>п/п</w:t>
            </w:r>
          </w:p>
        </w:tc>
        <w:tc>
          <w:tcPr>
            <w:tcW w:w="1881" w:type="dxa"/>
            <w:tcBorders/>
          </w:tcPr>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Наименование объекта</w:t>
            </w:r>
          </w:p>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2196" w:type="dxa"/>
            <w:tcBorders/>
          </w:tcPr>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Адрес местонахождения </w:t>
            </w:r>
          </w:p>
        </w:tc>
        <w:tc>
          <w:tcPr>
            <w:tcW w:w="2674" w:type="dxa"/>
            <w:tcBorders/>
          </w:tcPr>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Кадастровый (условный, инвентаризационный) номер</w:t>
            </w:r>
          </w:p>
        </w:tc>
        <w:tc>
          <w:tcPr>
            <w:tcW w:w="2073" w:type="dxa"/>
            <w:tcBorders/>
          </w:tcPr>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Начальная цена продажи (с учетом НДС), руб.</w:t>
            </w:r>
          </w:p>
        </w:tc>
      </w:tr>
      <w:tr>
        <w:trPr/>
        <w:tc>
          <w:tcPr>
            <w:tcW w:w="9492" w:type="dxa"/>
            <w:gridSpan w:val="5"/>
            <w:tcBorders/>
          </w:tcPr>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Лот №1</w:t>
            </w:r>
          </w:p>
        </w:tc>
      </w:tr>
      <w:tr>
        <w:trPr/>
        <w:tc>
          <w:tcPr>
            <w:tcW w:w="668" w:type="dxa"/>
            <w:tcBorders/>
            <w:vAlign w:val="center"/>
          </w:tcPr>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w:t>
            </w:r>
          </w:p>
        </w:tc>
        <w:tc>
          <w:tcPr>
            <w:tcW w:w="1881" w:type="dxa"/>
            <w:tcBorders/>
            <w:vAlign w:val="center"/>
          </w:tcPr>
          <w:p>
            <w:pPr>
              <w:pStyle w:val="Style37"/>
              <w:widowControl/>
              <w:numPr>
                <w:ilvl w:val="0"/>
                <w:numId w:val="0"/>
              </w:numPr>
              <w:spacing w:before="120" w:after="0"/>
              <w:ind w:left="0" w:hanging="0"/>
              <w:jc w:val="both"/>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Склад смешанных товаров</w:t>
            </w:r>
          </w:p>
        </w:tc>
        <w:tc>
          <w:tcPr>
            <w:tcW w:w="2196" w:type="dxa"/>
            <w:vMerge w:val="restart"/>
            <w:tcBorders/>
            <w:vAlign w:val="center"/>
          </w:tcPr>
          <w:p>
            <w:pPr>
              <w:pStyle w:val="Normal"/>
              <w:widowControl/>
              <w:spacing w:before="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Карачаево-Черкесская Республика, Прикубанский р-н,</w:t>
            </w:r>
          </w:p>
          <w:p>
            <w:pPr>
              <w:pStyle w:val="Normal"/>
              <w:widowControl/>
              <w:spacing w:before="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п. Ударный,</w:t>
            </w:r>
          </w:p>
          <w:p>
            <w:pPr>
              <w:pStyle w:val="Style37"/>
              <w:widowControl/>
              <w:numPr>
                <w:ilvl w:val="0"/>
                <w:numId w:val="0"/>
              </w:numPr>
              <w:spacing w:before="120" w:after="0"/>
              <w:ind w:left="0" w:hanging="0"/>
              <w:jc w:val="both"/>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ул. Молодежная, д 11</w:t>
            </w:r>
          </w:p>
        </w:tc>
        <w:tc>
          <w:tcPr>
            <w:tcW w:w="2674" w:type="dxa"/>
            <w:tcBorders/>
            <w:vAlign w:val="center"/>
          </w:tcPr>
          <w:p>
            <w:pPr>
              <w:pStyle w:val="Style37"/>
              <w:widowControl/>
              <w:numPr>
                <w:ilvl w:val="0"/>
                <w:numId w:val="0"/>
              </w:numPr>
              <w:spacing w:before="120" w:after="0"/>
              <w:ind w:left="0" w:hanging="0"/>
              <w:jc w:val="both"/>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09:02:0000000:15694</w:t>
            </w:r>
          </w:p>
        </w:tc>
        <w:tc>
          <w:tcPr>
            <w:tcW w:w="2073" w:type="dxa"/>
            <w:vMerge w:val="restart"/>
            <w:tcBorders/>
            <w:vAlign w:val="center"/>
          </w:tcPr>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60 000</w:t>
            </w:r>
          </w:p>
        </w:tc>
      </w:tr>
      <w:tr>
        <w:trPr/>
        <w:tc>
          <w:tcPr>
            <w:tcW w:w="668" w:type="dxa"/>
            <w:tcBorders/>
            <w:vAlign w:val="center"/>
          </w:tcPr>
          <w:p>
            <w:pPr>
              <w:pStyle w:val="Style37"/>
              <w:widowControl/>
              <w:numPr>
                <w:ilvl w:val="0"/>
                <w:numId w:val="0"/>
              </w:numPr>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2</w:t>
            </w:r>
          </w:p>
        </w:tc>
        <w:tc>
          <w:tcPr>
            <w:tcW w:w="1881" w:type="dxa"/>
            <w:tcBorders/>
            <w:vAlign w:val="center"/>
          </w:tcPr>
          <w:p>
            <w:pPr>
              <w:pStyle w:val="Style37"/>
              <w:widowControl/>
              <w:numPr>
                <w:ilvl w:val="0"/>
                <w:numId w:val="0"/>
              </w:numPr>
              <w:spacing w:before="120" w:after="0"/>
              <w:ind w:left="0" w:hanging="0"/>
              <w:jc w:val="both"/>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Часть здания – склад</w:t>
            </w:r>
          </w:p>
        </w:tc>
        <w:tc>
          <w:tcPr>
            <w:tcW w:w="2196" w:type="dxa"/>
            <w:vMerge w:val="continue"/>
            <w:tcBorders/>
            <w:vAlign w:val="center"/>
          </w:tcPr>
          <w:p>
            <w:pPr>
              <w:pStyle w:val="Style37"/>
              <w:widowControl/>
              <w:numPr>
                <w:ilvl w:val="0"/>
                <w:numId w:val="0"/>
              </w:numPr>
              <w:spacing w:before="120" w:after="0"/>
              <w:ind w:left="0" w:hanging="0"/>
              <w:jc w:val="both"/>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2674" w:type="dxa"/>
            <w:tcBorders/>
            <w:vAlign w:val="center"/>
          </w:tcPr>
          <w:p>
            <w:pPr>
              <w:pStyle w:val="Style37"/>
              <w:widowControl/>
              <w:numPr>
                <w:ilvl w:val="0"/>
                <w:numId w:val="0"/>
              </w:numPr>
              <w:spacing w:before="120" w:after="0"/>
              <w:ind w:left="0" w:hanging="0"/>
              <w:jc w:val="both"/>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09:02:0310101:592</w:t>
            </w:r>
          </w:p>
        </w:tc>
        <w:tc>
          <w:tcPr>
            <w:tcW w:w="2073" w:type="dxa"/>
            <w:vMerge w:val="continue"/>
            <w:tcBorders/>
            <w:vAlign w:val="center"/>
          </w:tcPr>
          <w:p>
            <w:pPr>
              <w:pStyle w:val="Style37"/>
              <w:widowControl/>
              <w:numPr>
                <w:ilvl w:val="0"/>
                <w:numId w:val="0"/>
              </w:numPr>
              <w:spacing w:before="120" w:after="0"/>
              <w:ind w:left="0" w:hanging="0"/>
              <w:jc w:val="both"/>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r>
    </w:tbl>
    <w:p>
      <w:pPr>
        <w:pStyle w:val="Style37"/>
        <w:numPr>
          <w:ilvl w:val="2"/>
          <w:numId w:val="4"/>
        </w:numPr>
        <w:tabs>
          <w:tab w:val="clear" w:pos="567"/>
          <w:tab w:val="left" w:pos="3828" w:leader="none"/>
        </w:tabs>
        <w:ind w:left="1134" w:hanging="1134"/>
        <w:rPr/>
      </w:pPr>
      <w:r>
        <w:rPr/>
        <w:t>Предмет продажи принадлежит Продавцу на праве собственности, о чем в Едином государственном реестре недвижимости сделаны записи регистрации о праве собственности Продавца регистрации № 09-09-01/005/2008-184 от 29.02.2008 и № 09-09-01/005/2008-185 от 28.02.2008.</w:t>
      </w:r>
    </w:p>
    <w:p>
      <w:pPr>
        <w:pStyle w:val="Style37"/>
        <w:numPr>
          <w:ilvl w:val="2"/>
          <w:numId w:val="4"/>
        </w:numPr>
        <w:tabs>
          <w:tab w:val="clear" w:pos="567"/>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pPr>
        <w:pStyle w:val="2"/>
        <w:numPr>
          <w:ilvl w:val="1"/>
          <w:numId w:val="4"/>
        </w:numPr>
        <w:tabs>
          <w:tab w:val="clear" w:pos="1560"/>
        </w:tabs>
        <w:ind w:left="1134" w:hanging="1134"/>
        <w:rPr>
          <w:sz w:val="26"/>
        </w:rPr>
      </w:pPr>
      <w:bookmarkStart w:id="126" w:name="_Toc536798399"/>
      <w:r>
        <w:rPr>
          <w:sz w:val="26"/>
        </w:rPr>
        <w:t>Порядок ознакомления с Предметом продажи</w:t>
      </w:r>
      <w:bookmarkEnd w:id="126"/>
      <w:r>
        <w:rPr>
          <w:sz w:val="26"/>
        </w:rPr>
        <w:t xml:space="preserve"> </w:t>
      </w:r>
    </w:p>
    <w:p>
      <w:pPr>
        <w:pStyle w:val="Style37"/>
        <w:numPr>
          <w:ilvl w:val="2"/>
          <w:numId w:val="4"/>
        </w:numPr>
        <w:tabs>
          <w:tab w:val="clear" w:pos="567"/>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37"/>
        <w:numPr>
          <w:ilvl w:val="2"/>
          <w:numId w:val="4"/>
        </w:numPr>
        <w:tabs>
          <w:tab w:val="clear" w:pos="567"/>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_Ref536798160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37"/>
        <w:numPr>
          <w:ilvl w:val="2"/>
          <w:numId w:val="4"/>
        </w:numPr>
        <w:tabs>
          <w:tab w:val="clear" w:pos="567"/>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1.2.13</w:t>
      </w:r>
      <w:r>
        <w:rPr>
          <w:szCs w:val="24"/>
        </w:rPr>
        <w:fldChar w:fldCharType="end"/>
      </w:r>
      <w:r>
        <w:rPr>
          <w:szCs w:val="24"/>
        </w:rPr>
        <w:t>3</w:t>
      </w:r>
      <w:r>
        <w:rPr/>
        <w:t xml:space="preserve">. Запрос направляется на адрес электронной почты контактного лица Организатора, указанный в п. </w:t>
      </w:r>
      <w:r>
        <w:rPr/>
        <w:fldChar w:fldCharType="begin"/>
      </w:r>
      <w:r>
        <w:rPr/>
        <w:instrText xml:space="preserve"> REF _Ref384115792 \r \h </w:instrText>
      </w:r>
      <w:r>
        <w:rPr/>
        <w:fldChar w:fldCharType="separate"/>
      </w:r>
      <w:r>
        <w:rPr/>
        <w:t>1.2.7</w:t>
      </w:r>
      <w:r>
        <w:rPr/>
        <w:fldChar w:fldCharType="end"/>
      </w:r>
      <w:r>
        <w:rPr/>
        <w:t xml:space="preserve">. </w:t>
      </w:r>
    </w:p>
    <w:p>
      <w:pPr>
        <w:pStyle w:val="Style37"/>
        <w:numPr>
          <w:ilvl w:val="2"/>
          <w:numId w:val="4"/>
        </w:numPr>
        <w:tabs>
          <w:tab w:val="clear" w:pos="567"/>
          <w:tab w:val="left" w:pos="3828" w:leader="none"/>
        </w:tabs>
        <w:ind w:left="1134" w:hanging="1134"/>
        <w:rPr/>
      </w:pPr>
      <w:r>
        <w:rPr/>
        <w:t xml:space="preserve">В запросе, составляемой в произвольной форме, помимо запроса на ознакомления с Предметом продажи, в обязательном порядке должно быть указано: </w:t>
      </w:r>
    </w:p>
    <w:p>
      <w:pPr>
        <w:pStyle w:val="ListParagraph"/>
        <w:numPr>
          <w:ilvl w:val="0"/>
          <w:numId w:val="12"/>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2"/>
        </w:numPr>
        <w:spacing w:lineRule="auto" w:line="276"/>
        <w:ind w:left="1985" w:hanging="360"/>
        <w:jc w:val="both"/>
        <w:rPr>
          <w:rFonts w:ascii="Times New Roman" w:hAnsi="Times New Roman"/>
          <w:sz w:val="26"/>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pPr>
        <w:pStyle w:val="1"/>
        <w:numPr>
          <w:ilvl w:val="0"/>
          <w:numId w:val="4"/>
        </w:numPr>
        <w:ind w:left="1134" w:hanging="1134"/>
        <w:jc w:val="center"/>
        <w:rPr>
          <w:rFonts w:ascii="Times New Roman" w:hAnsi="Times New Roman"/>
          <w:sz w:val="28"/>
          <w:szCs w:val="28"/>
        </w:rPr>
      </w:pPr>
      <w:bookmarkStart w:id="127" w:name="_Ref93088240"/>
      <w:bookmarkStart w:id="128" w:name="_Ref514453315"/>
      <w:bookmarkStart w:id="129" w:name="_Toc536798400"/>
      <w:r>
        <w:rPr>
          <w:rFonts w:ascii="Times New Roman" w:hAnsi="Times New Roman"/>
          <w:sz w:val="28"/>
          <w:szCs w:val="28"/>
        </w:rPr>
        <w:t xml:space="preserve">ТРЕБОВАНИЯ К УЧАСТНИКАМ </w:t>
      </w:r>
      <w:bookmarkEnd w:id="127"/>
      <w:bookmarkEnd w:id="128"/>
      <w:bookmarkEnd w:id="129"/>
      <w:r>
        <w:rPr>
          <w:rFonts w:ascii="Times New Roman" w:hAnsi="Times New Roman"/>
          <w:sz w:val="28"/>
          <w:szCs w:val="28"/>
        </w:rPr>
        <w:t>ПРОЦЕДУРЫ</w:t>
      </w:r>
    </w:p>
    <w:p>
      <w:pPr>
        <w:pStyle w:val="2"/>
        <w:numPr>
          <w:ilvl w:val="1"/>
          <w:numId w:val="4"/>
        </w:numPr>
        <w:ind w:left="1134" w:hanging="1134"/>
        <w:rPr>
          <w:sz w:val="26"/>
        </w:rPr>
      </w:pPr>
      <w:bookmarkStart w:id="130" w:name="_Hlk523931983"/>
      <w:bookmarkStart w:id="131" w:name="_Toc536798401"/>
      <w:bookmarkStart w:id="132" w:name="_Ref384627521"/>
      <w:bookmarkStart w:id="133" w:name="_Ref324341528"/>
      <w:bookmarkStart w:id="134" w:name="_Ref93090116"/>
      <w:bookmarkStart w:id="135" w:name="_Toc90385071"/>
      <w:bookmarkEnd w:id="130"/>
      <w:r>
        <w:rPr>
          <w:sz w:val="26"/>
        </w:rPr>
        <w:t xml:space="preserve">Требования к Участникам </w:t>
      </w:r>
      <w:bookmarkEnd w:id="131"/>
      <w:bookmarkEnd w:id="132"/>
      <w:bookmarkEnd w:id="133"/>
      <w:bookmarkEnd w:id="134"/>
      <w:bookmarkEnd w:id="135"/>
      <w:r>
        <w:rPr>
          <w:sz w:val="26"/>
        </w:rPr>
        <w:t>Процедуры</w:t>
      </w:r>
    </w:p>
    <w:p>
      <w:pPr>
        <w:pStyle w:val="Style37"/>
        <w:numPr>
          <w:ilvl w:val="2"/>
          <w:numId w:val="4"/>
        </w:numPr>
        <w:tabs>
          <w:tab w:val="clear" w:pos="567"/>
          <w:tab w:val="left" w:pos="3828" w:leader="none"/>
        </w:tabs>
        <w:ind w:left="1134" w:hanging="1134"/>
        <w:rPr/>
      </w:pPr>
      <w:bookmarkStart w:id="136" w:name="_Hlk523931983"/>
      <w:bookmarkStart w:id="137" w:name="_Ref324335676"/>
      <w:bookmarkEnd w:id="136"/>
      <w:bookmarkEnd w:id="137"/>
      <w:r>
        <w:rPr/>
        <w:t xml:space="preserve">Для участия в Процедуре, победы и получения права заключить Договор с Продавцом, Заявитель должен отвечать требованиям, установленным в Документации. </w:t>
      </w:r>
    </w:p>
    <w:p>
      <w:pPr>
        <w:pStyle w:val="Style37"/>
        <w:numPr>
          <w:ilvl w:val="2"/>
          <w:numId w:val="4"/>
        </w:numPr>
        <w:tabs>
          <w:tab w:val="clear" w:pos="567"/>
          <w:tab w:val="left" w:pos="3828" w:leader="none"/>
        </w:tabs>
        <w:ind w:left="1134" w:hanging="1134"/>
        <w:rPr/>
      </w:pPr>
      <w:r>
        <w:rPr/>
        <w:t xml:space="preserve">Полный перечень требований к Заявителям / Участникам указан в </w:t>
      </w:r>
      <w:bookmarkStart w:id="138" w:name="_Hlt311053359"/>
      <w:bookmarkEnd w:id="138"/>
      <w:r>
        <w:rPr/>
        <w:t>Приложении № 3 к Документации.</w:t>
      </w:r>
    </w:p>
    <w:p>
      <w:pPr>
        <w:pStyle w:val="Style37"/>
        <w:numPr>
          <w:ilvl w:val="2"/>
          <w:numId w:val="4"/>
        </w:numPr>
        <w:tabs>
          <w:tab w:val="clear" w:pos="567"/>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1"/>
        <w:numPr>
          <w:ilvl w:val="0"/>
          <w:numId w:val="4"/>
        </w:numPr>
        <w:ind w:left="1134" w:hanging="1134"/>
        <w:jc w:val="center"/>
        <w:rPr>
          <w:rFonts w:ascii="Times New Roman" w:hAnsi="Times New Roman"/>
          <w:sz w:val="28"/>
          <w:szCs w:val="28"/>
        </w:rPr>
      </w:pPr>
      <w:bookmarkStart w:id="139" w:name="_Toc69728963"/>
      <w:bookmarkStart w:id="140" w:name="_Toc57314640"/>
      <w:bookmarkStart w:id="141" w:name="_Toc55305378"/>
      <w:bookmarkStart w:id="142" w:name="_Ref55300680"/>
      <w:bookmarkStart w:id="143" w:name="_Ref324335676"/>
      <w:bookmarkStart w:id="144" w:name="_Toc536798402"/>
      <w:bookmarkStart w:id="145" w:name="_Ref514453352"/>
      <w:bookmarkStart w:id="146" w:name="_Toc514455549"/>
      <w:bookmarkStart w:id="147" w:name="_Toc418863076"/>
      <w:bookmarkStart w:id="148" w:name="_Toc418862919"/>
      <w:bookmarkEnd w:id="143"/>
      <w:bookmarkEnd w:id="146"/>
      <w:bookmarkEnd w:id="147"/>
      <w:bookmarkEnd w:id="148"/>
      <w:r>
        <w:rPr>
          <w:rFonts w:ascii="Times New Roman" w:hAnsi="Times New Roman"/>
          <w:sz w:val="28"/>
          <w:szCs w:val="28"/>
        </w:rPr>
        <w:t>ПОРЯДОК ПРОВЕДЕНИЯ ПРОЦЕДУРЫ. ИНСТРУКЦИИ ПО ПОДГОТОВКЕ ЗАЯВОК</w:t>
      </w:r>
      <w:bookmarkEnd w:id="139"/>
      <w:bookmarkEnd w:id="140"/>
      <w:bookmarkEnd w:id="141"/>
      <w:bookmarkEnd w:id="142"/>
      <w:bookmarkEnd w:id="144"/>
      <w:bookmarkEnd w:id="145"/>
    </w:p>
    <w:p>
      <w:pPr>
        <w:pStyle w:val="2"/>
        <w:numPr>
          <w:ilvl w:val="1"/>
          <w:numId w:val="4"/>
        </w:numPr>
        <w:ind w:left="1134" w:hanging="1134"/>
        <w:rPr>
          <w:sz w:val="26"/>
        </w:rPr>
      </w:pPr>
      <w:bookmarkStart w:id="149" w:name="ИНСТРУКЦИИ"/>
      <w:bookmarkStart w:id="150" w:name="_Toc536798403"/>
      <w:bookmarkStart w:id="151" w:name="_Toc69728964"/>
      <w:bookmarkStart w:id="152" w:name="_Toc57314641"/>
      <w:bookmarkStart w:id="153" w:name="_Toc55305379"/>
      <w:bookmarkStart w:id="154" w:name="_Toc55285342"/>
      <w:bookmarkStart w:id="155" w:name="_Toc55193148"/>
      <w:bookmarkStart w:id="156" w:name="_Toc518119235"/>
      <w:bookmarkStart w:id="157" w:name="_Ref440305687"/>
      <w:bookmarkEnd w:id="149"/>
      <w:r>
        <w:rPr>
          <w:sz w:val="26"/>
        </w:rPr>
        <w:t xml:space="preserve">Общий порядок проведения </w:t>
      </w:r>
      <w:bookmarkEnd w:id="150"/>
      <w:bookmarkEnd w:id="151"/>
      <w:bookmarkEnd w:id="152"/>
      <w:bookmarkEnd w:id="153"/>
      <w:bookmarkEnd w:id="154"/>
      <w:bookmarkEnd w:id="155"/>
      <w:bookmarkEnd w:id="156"/>
      <w:bookmarkEnd w:id="157"/>
      <w:r>
        <w:rPr>
          <w:sz w:val="26"/>
        </w:rPr>
        <w:t>Процедуры</w:t>
      </w:r>
    </w:p>
    <w:p>
      <w:pPr>
        <w:pStyle w:val="Style37"/>
        <w:numPr>
          <w:ilvl w:val="2"/>
          <w:numId w:val="4"/>
        </w:numPr>
        <w:tabs>
          <w:tab w:val="clear" w:pos="567"/>
          <w:tab w:val="left" w:pos="3828" w:leader="none"/>
        </w:tabs>
        <w:ind w:left="1134" w:hanging="1134"/>
        <w:rPr/>
      </w:pPr>
      <w:r>
        <w:rPr/>
        <w:t>Процедура проводится в следующем порядке:</w:t>
      </w:r>
    </w:p>
    <w:p>
      <w:pPr>
        <w:pStyle w:val="Style39"/>
        <w:numPr>
          <w:ilvl w:val="4"/>
          <w:numId w:val="4"/>
        </w:numPr>
        <w:tabs>
          <w:tab w:val="clear" w:pos="567"/>
          <w:tab w:val="left" w:pos="1134" w:leader="none"/>
        </w:tabs>
        <w:ind w:left="1701" w:hanging="424"/>
        <w:rPr/>
      </w:pPr>
      <w:r>
        <w:rPr/>
        <w:t xml:space="preserve">Официальное размещение Извещения и Документации о продаже (подраздел </w:t>
      </w:r>
      <w:r>
        <w:rPr/>
        <w:fldChar w:fldCharType="begin"/>
      </w:r>
      <w:r>
        <w:rPr/>
        <w:instrText xml:space="preserve"> REF _Ref55280418 \r \h </w:instrText>
      </w:r>
      <w:r>
        <w:rPr/>
        <w:fldChar w:fldCharType="separate"/>
      </w:r>
      <w:r>
        <w:rPr/>
        <w:t>5.2</w:t>
      </w:r>
      <w:r>
        <w:rPr/>
        <w:fldChar w:fldCharType="end"/>
      </w:r>
      <w:r>
        <w:rPr/>
        <w:t>);</w:t>
      </w:r>
    </w:p>
    <w:p>
      <w:pPr>
        <w:pStyle w:val="Style39"/>
        <w:numPr>
          <w:ilvl w:val="4"/>
          <w:numId w:val="4"/>
        </w:numPr>
        <w:tabs>
          <w:tab w:val="clear" w:pos="567"/>
          <w:tab w:val="left" w:pos="1134" w:leader="none"/>
        </w:tabs>
        <w:ind w:left="1701" w:hanging="424"/>
        <w:rPr/>
      </w:pPr>
      <w:r>
        <w:rPr/>
        <w:t xml:space="preserve">Разъяснение Организатором Документации о продаже и внесение в нее изменений, если необходимо (подразделы </w:t>
      </w:r>
      <w:r>
        <w:rPr/>
        <w:fldChar w:fldCharType="begin"/>
      </w:r>
      <w:r>
        <w:rPr/>
        <w:instrText xml:space="preserve"> REF _Ref55280436 \r \h </w:instrText>
      </w:r>
      <w:r>
        <w:rPr/>
        <w:fldChar w:fldCharType="separate"/>
      </w:r>
      <w:r>
        <w:rPr/>
        <w:t>5.3</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39"/>
        <w:numPr>
          <w:ilvl w:val="4"/>
          <w:numId w:val="4"/>
        </w:numPr>
        <w:tabs>
          <w:tab w:val="clear" w:pos="567"/>
          <w:tab w:val="left" w:pos="1134" w:leader="none"/>
        </w:tabs>
        <w:ind w:left="1701" w:hanging="424"/>
        <w:rPr/>
      </w:pPr>
      <w:r>
        <w:rPr/>
        <w:t xml:space="preserve">Подготовка Заявителями своих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39"/>
        <w:numPr>
          <w:ilvl w:val="4"/>
          <w:numId w:val="4"/>
        </w:numPr>
        <w:tabs>
          <w:tab w:val="clear" w:pos="567"/>
          <w:tab w:val="left" w:pos="1134" w:leader="none"/>
        </w:tabs>
        <w:ind w:left="1701" w:hanging="424"/>
        <w:rPr/>
      </w:pPr>
      <w:r>
        <w:rPr/>
        <w:t>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39"/>
        <w:numPr>
          <w:ilvl w:val="4"/>
          <w:numId w:val="4"/>
        </w:numPr>
        <w:tabs>
          <w:tab w:val="clear" w:pos="567"/>
          <w:tab w:val="left" w:pos="1134" w:leader="none"/>
        </w:tabs>
        <w:ind w:left="1701" w:hanging="424"/>
        <w:rPr/>
      </w:pPr>
      <w:r>
        <w:rPr/>
        <w:t xml:space="preserve">Оценка, сопоставление Заявок и подведение итогов Процедуры (подраздел </w:t>
      </w:r>
      <w:r>
        <w:rPr/>
        <w:fldChar w:fldCharType="begin"/>
      </w:r>
      <w:r>
        <w:rPr/>
        <w:instrText xml:space="preserve"> REF _Ref55280453 \r \h </w:instrText>
      </w:r>
      <w:r>
        <w:rPr/>
        <w:fldChar w:fldCharType="separate"/>
      </w:r>
      <w:r>
        <w:rPr/>
        <w:t>5.9</w:t>
      </w:r>
      <w:r>
        <w:rPr/>
        <w:fldChar w:fldCharType="end"/>
      </w:r>
      <w:r>
        <w:rPr/>
        <w:t>);</w:t>
      </w:r>
    </w:p>
    <w:p>
      <w:pPr>
        <w:pStyle w:val="Style39"/>
        <w:numPr>
          <w:ilvl w:val="4"/>
          <w:numId w:val="4"/>
        </w:numPr>
        <w:tabs>
          <w:tab w:val="clear" w:pos="567"/>
          <w:tab w:val="left" w:pos="1134" w:leader="none"/>
        </w:tabs>
        <w:ind w:left="1701" w:hanging="424"/>
        <w:rPr/>
      </w:pPr>
      <w:r>
        <w:rPr/>
        <w:t xml:space="preserve">Оформление результатов Процедуры (подраздел </w:t>
      </w:r>
      <w:r>
        <w:rPr/>
        <w:fldChar w:fldCharType="begin"/>
      </w:r>
      <w:r>
        <w:rPr/>
        <w:instrText xml:space="preserve"> REF _Ref524118530 \r \h </w:instrText>
      </w:r>
      <w:r>
        <w:rPr/>
        <w:fldChar w:fldCharType="separate"/>
      </w:r>
      <w:r>
        <w:rPr/>
        <w:t>Ошибка: источник перекрёстной ссылки не найден</w:t>
      </w:r>
      <w:r>
        <w:rPr/>
        <w:fldChar w:fldCharType="end"/>
      </w:r>
      <w:r>
        <w:rPr/>
        <w:t>);</w:t>
      </w:r>
    </w:p>
    <w:p>
      <w:pPr>
        <w:pStyle w:val="Style39"/>
        <w:numPr>
          <w:ilvl w:val="4"/>
          <w:numId w:val="4"/>
        </w:numPr>
        <w:tabs>
          <w:tab w:val="clear" w:pos="567"/>
          <w:tab w:val="left" w:pos="1134" w:leader="none"/>
        </w:tabs>
        <w:ind w:left="1701" w:hanging="424"/>
        <w:rPr/>
      </w:pPr>
      <w:r>
        <w:rPr/>
        <w:t xml:space="preserve">Заключение Договора или отказ от его заключения (раздел </w:t>
      </w:r>
      <w:r>
        <w:rPr/>
        <w:fldChar w:fldCharType="begin"/>
      </w:r>
      <w:r>
        <w:rPr/>
        <w:instrText xml:space="preserve"> REF _Ref418863007 \r \h </w:instrText>
      </w:r>
      <w:r>
        <w:rPr/>
        <w:fldChar w:fldCharType="separate"/>
      </w:r>
      <w:r>
        <w:rPr/>
        <w:t>6.</w:t>
      </w:r>
      <w:r>
        <w:rPr/>
        <w:fldChar w:fldCharType="end"/>
      </w:r>
      <w:r>
        <w:rPr/>
        <w:t>).</w:t>
      </w:r>
    </w:p>
    <w:p>
      <w:pPr>
        <w:pStyle w:val="Style37"/>
        <w:numPr>
          <w:ilvl w:val="2"/>
          <w:numId w:val="4"/>
        </w:numPr>
        <w:tabs>
          <w:tab w:val="clear" w:pos="567"/>
          <w:tab w:val="left" w:pos="3828" w:leader="none"/>
        </w:tabs>
        <w:ind w:left="1134" w:hanging="1134"/>
        <w:rPr/>
      </w:pPr>
      <w:r>
        <w:rPr/>
        <w:t xml:space="preserve">Дополнительные условия Процедуры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2"/>
        <w:keepNext w:val="false"/>
        <w:widowControl w:val="false"/>
        <w:numPr>
          <w:ilvl w:val="1"/>
          <w:numId w:val="4"/>
        </w:numPr>
        <w:suppressAutoHyphens w:val="false"/>
        <w:ind w:left="1134" w:hanging="1134"/>
        <w:rPr>
          <w:sz w:val="26"/>
        </w:rPr>
      </w:pPr>
      <w:bookmarkStart w:id="158" w:name="_Toc536798404"/>
      <w:bookmarkStart w:id="159" w:name="_Toc69728965"/>
      <w:bookmarkStart w:id="160" w:name="_Toc57314642"/>
      <w:bookmarkStart w:id="161" w:name="_Toc55305380"/>
      <w:bookmarkStart w:id="162" w:name="_Toc55285343"/>
      <w:bookmarkStart w:id="163" w:name="_Ref55280418"/>
      <w:r>
        <w:rPr>
          <w:sz w:val="26"/>
        </w:rPr>
        <w:t>Официальное размещение Извещения</w:t>
      </w:r>
      <w:bookmarkEnd w:id="159"/>
      <w:bookmarkEnd w:id="160"/>
      <w:bookmarkEnd w:id="161"/>
      <w:bookmarkEnd w:id="162"/>
      <w:bookmarkEnd w:id="163"/>
      <w:r>
        <w:rPr>
          <w:sz w:val="26"/>
        </w:rPr>
        <w:t xml:space="preserve"> и Документации о продаже</w:t>
      </w:r>
      <w:bookmarkEnd w:id="158"/>
    </w:p>
    <w:p>
      <w:pPr>
        <w:pStyle w:val="Style37"/>
        <w:numPr>
          <w:ilvl w:val="2"/>
          <w:numId w:val="4"/>
        </w:numPr>
        <w:tabs>
          <w:tab w:val="clear" w:pos="567"/>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37"/>
        <w:numPr>
          <w:ilvl w:val="2"/>
          <w:numId w:val="4"/>
        </w:numPr>
        <w:tabs>
          <w:tab w:val="clear" w:pos="567"/>
          <w:tab w:val="left" w:pos="3828" w:leader="none"/>
        </w:tabs>
        <w:ind w:left="1134" w:hanging="1134"/>
        <w:rPr/>
      </w:pPr>
      <w:r>
        <w:rPr/>
        <w:t>Заявители / Участники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Процедуры решениях Организатора, Комиссии.</w:t>
      </w:r>
    </w:p>
    <w:p>
      <w:pPr>
        <w:pStyle w:val="2"/>
        <w:numPr>
          <w:ilvl w:val="1"/>
          <w:numId w:val="4"/>
        </w:numPr>
        <w:ind w:left="1134" w:hanging="1134"/>
        <w:rPr>
          <w:sz w:val="26"/>
        </w:rPr>
      </w:pPr>
      <w:bookmarkStart w:id="164" w:name="_Toc69728967"/>
      <w:bookmarkStart w:id="165" w:name="_Toc57314644"/>
      <w:bookmarkStart w:id="166" w:name="_Toc55305382"/>
      <w:bookmarkStart w:id="167" w:name="_Toc55285345"/>
      <w:bookmarkStart w:id="168" w:name="_Ref55280436"/>
      <w:bookmarkStart w:id="169" w:name="_Toc536798405"/>
      <w:bookmarkStart w:id="170" w:name="_Ref514707961"/>
      <w:bookmarkStart w:id="171" w:name="_Toc57314653"/>
      <w:bookmarkStart w:id="172" w:name="_Toc311975313"/>
      <w:bookmarkEnd w:id="172"/>
      <w:r>
        <w:rPr>
          <w:sz w:val="26"/>
        </w:rPr>
        <w:t>Разъяснение Документации</w:t>
      </w:r>
      <w:bookmarkEnd w:id="171"/>
      <w:r>
        <w:rPr>
          <w:sz w:val="26"/>
        </w:rPr>
        <w:t xml:space="preserve"> о продаже</w:t>
      </w:r>
      <w:bookmarkEnd w:id="169"/>
      <w:bookmarkEnd w:id="170"/>
    </w:p>
    <w:p>
      <w:pPr>
        <w:pStyle w:val="Style37"/>
        <w:numPr>
          <w:ilvl w:val="2"/>
          <w:numId w:val="4"/>
        </w:numPr>
        <w:tabs>
          <w:tab w:val="clear" w:pos="567"/>
          <w:tab w:val="left" w:pos="3828" w:leader="none"/>
        </w:tabs>
        <w:ind w:left="1134" w:hanging="1134"/>
        <w:rPr/>
      </w:pPr>
      <w:r>
        <w:rPr/>
        <w:t xml:space="preserve">Заявители вправе обратиться к Организатору за разъяснениями Документации. </w:t>
      </w:r>
    </w:p>
    <w:p>
      <w:pPr>
        <w:pStyle w:val="Style37"/>
        <w:numPr>
          <w:ilvl w:val="2"/>
          <w:numId w:val="4"/>
        </w:numPr>
        <w:tabs>
          <w:tab w:val="clear" w:pos="567"/>
          <w:tab w:val="left" w:pos="3828" w:leader="none"/>
        </w:tabs>
        <w:ind w:left="1134" w:hanging="1134"/>
        <w:rPr/>
      </w:pPr>
      <w:r>
        <w:rPr/>
        <w:t>Запросы на разъяснение Документации подаются в соответствии с Регламентом ЭТП.</w:t>
      </w:r>
    </w:p>
    <w:p>
      <w:pPr>
        <w:pStyle w:val="Style37"/>
        <w:numPr>
          <w:ilvl w:val="2"/>
          <w:numId w:val="4"/>
        </w:numPr>
        <w:tabs>
          <w:tab w:val="clear" w:pos="567"/>
          <w:tab w:val="left" w:pos="3828" w:leader="none"/>
        </w:tabs>
        <w:ind w:left="1134" w:hanging="1134"/>
        <w:rPr/>
      </w:pPr>
      <w:r>
        <w:rPr/>
        <w:t xml:space="preserve">Организатор обязуется ответить на любой вопрос о разъяснении Документации, поступивший не позднее чем за 3 (три) рабочих дня до даты окончания срока подачи Заявок. В случае поступления вопросов с нарушением указанного срока, Организатор вправе не предоставлять разъяснения. </w:t>
      </w:r>
    </w:p>
    <w:p>
      <w:pPr>
        <w:pStyle w:val="Style37"/>
        <w:numPr>
          <w:ilvl w:val="2"/>
          <w:numId w:val="4"/>
        </w:numPr>
        <w:tabs>
          <w:tab w:val="clear" w:pos="567"/>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37"/>
        <w:numPr>
          <w:ilvl w:val="2"/>
          <w:numId w:val="4"/>
        </w:numPr>
        <w:tabs>
          <w:tab w:val="clear" w:pos="567"/>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1.2.12</w:t>
      </w:r>
      <w:r>
        <w:rPr/>
        <w:fldChar w:fldCharType="end"/>
      </w:r>
      <w:r>
        <w:rPr/>
        <w:t>2.</w:t>
      </w:r>
    </w:p>
    <w:p>
      <w:pPr>
        <w:pStyle w:val="Style37"/>
        <w:numPr>
          <w:ilvl w:val="2"/>
          <w:numId w:val="4"/>
        </w:numPr>
        <w:tabs>
          <w:tab w:val="clear" w:pos="567"/>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37"/>
        <w:numPr>
          <w:ilvl w:val="2"/>
          <w:numId w:val="4"/>
        </w:numPr>
        <w:tabs>
          <w:tab w:val="clear" w:pos="567"/>
          <w:tab w:val="left" w:pos="3828" w:leader="none"/>
        </w:tabs>
        <w:ind w:left="1134" w:hanging="1134"/>
        <w:rPr/>
      </w:pPr>
      <w:r>
        <w:rPr/>
        <w:t>В случае получения Заявителем любой иной информации в отношении условий проводимой Процедуры в порядке, не предусмотренном настоящим подразделом, такая информация не считается официальной, и Заявитель не вправе на нее ссылаться.</w:t>
      </w:r>
    </w:p>
    <w:p>
      <w:pPr>
        <w:pStyle w:val="2"/>
        <w:numPr>
          <w:ilvl w:val="1"/>
          <w:numId w:val="4"/>
        </w:numPr>
        <w:ind w:left="1134" w:hanging="1134"/>
        <w:rPr>
          <w:sz w:val="26"/>
        </w:rPr>
      </w:pPr>
      <w:bookmarkStart w:id="173" w:name="_Toc536798406"/>
      <w:bookmarkStart w:id="174" w:name="_Ref514601359"/>
      <w:r>
        <w:rPr>
          <w:sz w:val="26"/>
        </w:rPr>
        <w:t>Изменения Документации о продаже</w:t>
      </w:r>
      <w:bookmarkEnd w:id="173"/>
      <w:bookmarkEnd w:id="174"/>
    </w:p>
    <w:p>
      <w:pPr>
        <w:pStyle w:val="Style37"/>
        <w:numPr>
          <w:ilvl w:val="2"/>
          <w:numId w:val="4"/>
        </w:numPr>
        <w:tabs>
          <w:tab w:val="clear" w:pos="567"/>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1.2.13</w:t>
      </w:r>
      <w:r>
        <w:rPr/>
        <w:fldChar w:fldCharType="end"/>
      </w:r>
      <w:r>
        <w:rPr/>
        <w:t>3) вправе внести изменения в Извещение и / или настоящую Документацию. Размещению подлежит Извещение в новой редакции и / или изменения в Документацию, оформленные в аналогичном виде, либо Документация в новой редакции. Организатор вправе принять решение о продлении срока подачи Заявок.</w:t>
      </w:r>
    </w:p>
    <w:p>
      <w:pPr>
        <w:pStyle w:val="Style37"/>
        <w:numPr>
          <w:ilvl w:val="2"/>
          <w:numId w:val="4"/>
        </w:numPr>
        <w:tabs>
          <w:tab w:val="clear" w:pos="567"/>
          <w:tab w:val="left" w:pos="3828" w:leader="none"/>
        </w:tabs>
        <w:ind w:left="1134" w:hanging="1134"/>
        <w:rPr/>
      </w:pPr>
      <w:r>
        <w:rPr/>
        <w:t>Заявители обязаны учитывать внесенные изменения при подготовке своих Заявок. Все риски и последствия за подачу Заявки без учета официально размещенных изменений несет Заявитель.</w:t>
      </w:r>
    </w:p>
    <w:p>
      <w:pPr>
        <w:pStyle w:val="2"/>
        <w:numPr>
          <w:ilvl w:val="1"/>
          <w:numId w:val="4"/>
        </w:numPr>
        <w:ind w:left="1134" w:hanging="1134"/>
        <w:rPr>
          <w:sz w:val="26"/>
        </w:rPr>
      </w:pPr>
      <w:bookmarkStart w:id="175" w:name="_Toc69728967"/>
      <w:bookmarkStart w:id="176" w:name="_Toc57314644"/>
      <w:bookmarkStart w:id="177" w:name="_Toc55305382"/>
      <w:bookmarkStart w:id="178" w:name="_Toc55285345"/>
      <w:bookmarkStart w:id="179" w:name="_Ref55280436"/>
      <w:bookmarkStart w:id="180" w:name="_Toc536798407"/>
      <w:bookmarkStart w:id="181" w:name="_Ref514607557"/>
      <w:bookmarkStart w:id="182" w:name="_Ref514601380"/>
      <w:bookmarkStart w:id="183" w:name="_Ref514556725"/>
      <w:r>
        <w:rPr>
          <w:sz w:val="26"/>
        </w:rPr>
        <w:t>Подготовка Заявок</w:t>
      </w:r>
      <w:bookmarkEnd w:id="175"/>
      <w:bookmarkEnd w:id="176"/>
      <w:bookmarkEnd w:id="177"/>
      <w:bookmarkEnd w:id="178"/>
      <w:bookmarkEnd w:id="179"/>
      <w:bookmarkEnd w:id="180"/>
      <w:bookmarkEnd w:id="181"/>
      <w:bookmarkEnd w:id="182"/>
      <w:bookmarkEnd w:id="183"/>
    </w:p>
    <w:p>
      <w:pPr>
        <w:pStyle w:val="26"/>
        <w:numPr>
          <w:ilvl w:val="2"/>
          <w:numId w:val="4"/>
        </w:numPr>
        <w:tabs>
          <w:tab w:val="clear" w:pos="567"/>
        </w:tabs>
        <w:ind w:left="1134" w:hanging="1134"/>
        <w:rPr/>
      </w:pPr>
      <w:bookmarkStart w:id="184" w:name="_Toc536798408"/>
      <w:bookmarkStart w:id="185" w:name="_Toc57314645"/>
      <w:bookmarkStart w:id="186" w:name="_Ref56229154"/>
      <w:r>
        <w:rPr/>
        <w:t>Общие требования к Заявке</w:t>
      </w:r>
      <w:bookmarkEnd w:id="184"/>
      <w:bookmarkEnd w:id="185"/>
      <w:bookmarkEnd w:id="186"/>
    </w:p>
    <w:p>
      <w:pPr>
        <w:pStyle w:val="Style38"/>
        <w:numPr>
          <w:ilvl w:val="3"/>
          <w:numId w:val="4"/>
        </w:numPr>
        <w:rPr/>
      </w:pPr>
      <w:bookmarkStart w:id="187" w:name="_Ref56235235"/>
      <w:r>
        <w:rPr/>
        <w:t xml:space="preserve">Заявитель должен подготовить Заявку, включающую в себя полный комплект документов согласно перечню, определенному в </w:t>
      </w:r>
      <w:r>
        <w:rPr/>
        <w:fldChar w:fldCharType="begin"/>
      </w:r>
      <w:r>
        <w:rPr/>
        <w:instrText xml:space="preserve"> REF _Ref526936339 \h </w:instrText>
      </w:r>
      <w:r>
        <w:rPr/>
        <w:fldChar w:fldCharType="separate"/>
      </w:r>
      <w:r>
        <w:rPr/>
        <w:t>Приложение № 4</w:t>
      </w:r>
      <w:r>
        <w:rPr/>
        <w:fldChar w:fldCharType="end"/>
      </w:r>
      <w:r>
        <w:rPr/>
        <w:t>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38"/>
        <w:numPr>
          <w:ilvl w:val="3"/>
          <w:numId w:val="4"/>
        </w:numPr>
        <w:rPr/>
      </w:pPr>
      <w:bookmarkStart w:id="188" w:name="_Ref514625050"/>
      <w:bookmarkStart w:id="189" w:name="_Ref466382406"/>
      <w:bookmarkStart w:id="190" w:name="_Ref56240821"/>
      <w:r>
        <w:rPr/>
        <w:t>Заявитель имеет право подать только одну Заявку</w:t>
      </w:r>
      <w:bookmarkEnd w:id="189"/>
      <w:bookmarkEnd w:id="190"/>
      <w:r>
        <w:rPr/>
        <w:t xml:space="preserve"> на участие в Процедуре. 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pPr>
        <w:pStyle w:val="Style38"/>
        <w:numPr>
          <w:ilvl w:val="0"/>
          <w:numId w:val="0"/>
        </w:numPr>
        <w:ind w:left="1134" w:hanging="0"/>
        <w:rPr/>
      </w:pPr>
      <w:r>
        <w:rPr/>
        <w:t>Подача Заявки на часть Предмета продажи не допускается. Заявки с нарушением данного требования не принимаются.</w:t>
      </w:r>
    </w:p>
    <w:p>
      <w:pPr>
        <w:pStyle w:val="Style38"/>
        <w:numPr>
          <w:ilvl w:val="3"/>
          <w:numId w:val="4"/>
        </w:numPr>
        <w:rPr/>
      </w:pPr>
      <w:bookmarkStart w:id="191" w:name="_Ref514625050"/>
      <w:bookmarkStart w:id="192"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91"/>
      <w:bookmarkEnd w:id="192"/>
    </w:p>
    <w:p>
      <w:pPr>
        <w:pStyle w:val="Style38"/>
        <w:numPr>
          <w:ilvl w:val="3"/>
          <w:numId w:val="4"/>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9"/>
        <w:widowControl w:val="false"/>
        <w:numPr>
          <w:ilvl w:val="4"/>
          <w:numId w:val="4"/>
        </w:numPr>
        <w:ind w:left="1843" w:hanging="567"/>
        <w:rPr/>
      </w:pPr>
      <w:r>
        <w:rPr/>
        <w:t>полномочий таких органов (лиц) на оформление представленных в составе Заявки документов;</w:t>
      </w:r>
    </w:p>
    <w:p>
      <w:pPr>
        <w:pStyle w:val="Style39"/>
        <w:widowControl w:val="false"/>
        <w:numPr>
          <w:ilvl w:val="4"/>
          <w:numId w:val="4"/>
        </w:numPr>
        <w:ind w:left="1843" w:hanging="567"/>
        <w:rPr/>
      </w:pPr>
      <w:bookmarkStart w:id="193" w:name="_Ref56235235"/>
      <w:r>
        <w:rPr/>
        <w:t>формы, объема и содержания представленных в составе Заявки документов.</w:t>
      </w:r>
      <w:bookmarkEnd w:id="193"/>
    </w:p>
    <w:p>
      <w:pPr>
        <w:pStyle w:val="Style38"/>
        <w:numPr>
          <w:ilvl w:val="3"/>
          <w:numId w:val="4"/>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38"/>
        <w:numPr>
          <w:ilvl w:val="3"/>
          <w:numId w:val="4"/>
        </w:numPr>
        <w:rPr/>
      </w:pPr>
      <w:r>
        <w:rPr/>
        <w:t>Заявка должна быть подписана ЭЦП Заявителя.</w:t>
      </w:r>
    </w:p>
    <w:p>
      <w:pPr>
        <w:pStyle w:val="Style38"/>
        <w:numPr>
          <w:ilvl w:val="3"/>
          <w:numId w:val="4"/>
        </w:numPr>
        <w:rPr/>
      </w:pPr>
      <w:r>
        <w:rPr/>
        <w:t>Все документы, входящие в состав заявки на участие в Процедуре,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38"/>
        <w:numPr>
          <w:ilvl w:val="3"/>
          <w:numId w:val="4"/>
        </w:numPr>
        <w:rPr/>
      </w:pPr>
      <w:r>
        <w:rPr/>
        <w:t>Все файлы не должны иметь защиты от их открытия, изменения, копирования их содержимого или их печати;</w:t>
      </w:r>
    </w:p>
    <w:p>
      <w:pPr>
        <w:pStyle w:val="Style38"/>
        <w:numPr>
          <w:ilvl w:val="3"/>
          <w:numId w:val="4"/>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38"/>
        <w:numPr>
          <w:ilvl w:val="3"/>
          <w:numId w:val="4"/>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38"/>
        <w:numPr>
          <w:ilvl w:val="3"/>
          <w:numId w:val="4"/>
        </w:numPr>
        <w:rPr/>
      </w:pPr>
      <w:r>
        <w:rPr/>
        <w:t xml:space="preserve">В соответствии с Регламентом ЭТП, ЭТП автоматически присваивает Заявителю, подавшему Заявку на участие в Процедуре, уникальный в рамках данной Процедуры идентификационный номер. </w:t>
      </w:r>
    </w:p>
    <w:p>
      <w:pPr>
        <w:pStyle w:val="Style38"/>
        <w:numPr>
          <w:ilvl w:val="3"/>
          <w:numId w:val="4"/>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6"/>
        <w:numPr>
          <w:ilvl w:val="2"/>
          <w:numId w:val="4"/>
        </w:numPr>
        <w:tabs>
          <w:tab w:val="clear" w:pos="567"/>
        </w:tabs>
        <w:ind w:left="1134" w:hanging="1134"/>
        <w:rPr/>
      </w:pPr>
      <w:bookmarkStart w:id="194" w:name="_Toc536798409"/>
      <w:bookmarkStart w:id="195" w:name="_Ref324342276"/>
      <w:bookmarkStart w:id="196" w:name="_Toc57314646"/>
      <w:bookmarkStart w:id="197" w:name="_Ref56235653"/>
      <w:bookmarkStart w:id="198" w:name="_Ref56233643"/>
      <w:bookmarkStart w:id="199" w:name="_Toc453146031"/>
      <w:bookmarkStart w:id="200" w:name="_Toc452451015"/>
      <w:bookmarkEnd w:id="199"/>
      <w:bookmarkEnd w:id="200"/>
      <w:r>
        <w:rPr/>
        <w:t>Требования к сроку действия заявки</w:t>
      </w:r>
      <w:bookmarkEnd w:id="194"/>
      <w:bookmarkEnd w:id="195"/>
      <w:bookmarkEnd w:id="196"/>
      <w:bookmarkEnd w:id="197"/>
      <w:bookmarkEnd w:id="198"/>
    </w:p>
    <w:p>
      <w:pPr>
        <w:pStyle w:val="Style38"/>
        <w:widowControl w:val="false"/>
        <w:numPr>
          <w:ilvl w:val="3"/>
          <w:numId w:val="4"/>
        </w:numPr>
        <w:rPr/>
      </w:pPr>
      <w:bookmarkStart w:id="201" w:name="_Ref457409191"/>
      <w:bookmarkStart w:id="202" w:name="_Ref56220570"/>
      <w:r>
        <w:rPr/>
        <w:t xml:space="preserve">Заявка должна быть действительна до истечения удвоенного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201"/>
      <w:bookmarkEnd w:id="202"/>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1.2.13</w:t>
      </w:r>
      <w:r>
        <w:rPr/>
        <w:fldChar w:fldCharType="end"/>
      </w:r>
      <w:r>
        <w:rPr/>
        <w:t xml:space="preserve">3. Указание меньшего срока действия заявки в Заявке на участие в Процедуре (подраздел </w:t>
      </w:r>
      <w:r>
        <w:rPr/>
        <w:fldChar w:fldCharType="begin"/>
      </w:r>
      <w:r>
        <w:rPr/>
        <w:instrText xml:space="preserve"> REF _Ref55336310 \r \h </w:instrText>
      </w:r>
      <w:r>
        <w:rPr/>
        <w:fldChar w:fldCharType="separate"/>
      </w:r>
      <w:r>
        <w:rPr/>
        <w:t>8.2</w:t>
      </w:r>
      <w:r>
        <w:rPr/>
        <w:fldChar w:fldCharType="end"/>
      </w:r>
      <w:r>
        <w:rPr/>
        <w:t>) может служить основанием для отклонения заявки.</w:t>
      </w:r>
    </w:p>
    <w:p>
      <w:pPr>
        <w:pStyle w:val="26"/>
        <w:numPr>
          <w:ilvl w:val="2"/>
          <w:numId w:val="4"/>
        </w:numPr>
        <w:tabs>
          <w:tab w:val="clear" w:pos="567"/>
        </w:tabs>
        <w:ind w:left="1134" w:hanging="1134"/>
        <w:rPr/>
      </w:pPr>
      <w:bookmarkStart w:id="203" w:name="_Toc536798410"/>
      <w:bookmarkStart w:id="204" w:name="_Ref324342156"/>
      <w:bookmarkStart w:id="205" w:name="_Toc57314647"/>
      <w:r>
        <w:rPr/>
        <w:t>Требования к языку Заявки</w:t>
      </w:r>
      <w:bookmarkEnd w:id="203"/>
      <w:bookmarkEnd w:id="204"/>
      <w:bookmarkEnd w:id="205"/>
    </w:p>
    <w:p>
      <w:pPr>
        <w:pStyle w:val="Style38"/>
        <w:numPr>
          <w:ilvl w:val="3"/>
          <w:numId w:val="4"/>
        </w:numPr>
        <w:rPr/>
      </w:pPr>
      <w:bookmarkStart w:id="206" w:name="_Toc57314648"/>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38"/>
        <w:numPr>
          <w:ilvl w:val="3"/>
          <w:numId w:val="4"/>
        </w:numPr>
        <w:rPr/>
      </w:pPr>
      <w:r>
        <w:rPr/>
        <w:t>Организатор вправе не рассматривать документы, не переведенные на русский язык.</w:t>
      </w:r>
      <w:bookmarkStart w:id="207" w:name="_Hlt40850038"/>
      <w:bookmarkEnd w:id="207"/>
    </w:p>
    <w:p>
      <w:pPr>
        <w:pStyle w:val="26"/>
        <w:numPr>
          <w:ilvl w:val="2"/>
          <w:numId w:val="4"/>
        </w:numPr>
        <w:tabs>
          <w:tab w:val="clear" w:pos="567"/>
        </w:tabs>
        <w:ind w:left="1134" w:hanging="1134"/>
        <w:rPr/>
      </w:pPr>
      <w:bookmarkStart w:id="208" w:name="_Toc57314648"/>
      <w:bookmarkStart w:id="209" w:name="_Toc536798411"/>
      <w:bookmarkStart w:id="210" w:name="_Ref514621956"/>
      <w:r>
        <w:rPr/>
        <w:t xml:space="preserve">Требования к валюте </w:t>
      </w:r>
      <w:bookmarkEnd w:id="208"/>
      <w:bookmarkEnd w:id="210"/>
      <w:r>
        <w:rPr/>
        <w:t>заявки</w:t>
      </w:r>
      <w:bookmarkEnd w:id="209"/>
    </w:p>
    <w:p>
      <w:pPr>
        <w:pStyle w:val="Style38"/>
        <w:numPr>
          <w:ilvl w:val="3"/>
          <w:numId w:val="4"/>
        </w:numPr>
        <w:rPr/>
      </w:pPr>
      <w:bookmarkStart w:id="211" w:name="_Ref56220708"/>
      <w:r>
        <w:rPr/>
        <w:t>Валюта, в которой Заявители подают ценовые предложения – российский рубль</w:t>
      </w:r>
      <w:bookmarkEnd w:id="211"/>
      <w:r>
        <w:rPr/>
        <w:t>.</w:t>
      </w:r>
    </w:p>
    <w:p>
      <w:pPr>
        <w:pStyle w:val="2"/>
        <w:keepNext w:val="false"/>
        <w:widowControl w:val="false"/>
        <w:numPr>
          <w:ilvl w:val="1"/>
          <w:numId w:val="4"/>
        </w:numPr>
        <w:ind w:left="1134" w:hanging="1134"/>
        <w:rPr>
          <w:sz w:val="26"/>
        </w:rPr>
      </w:pPr>
      <w:bookmarkStart w:id="212" w:name="_Toc536798413"/>
      <w:bookmarkStart w:id="213" w:name="_Ref514649217"/>
      <w:bookmarkStart w:id="214" w:name="_Toc69728968"/>
      <w:bookmarkStart w:id="215" w:name="_Toc57314654"/>
      <w:bookmarkStart w:id="216" w:name="_Toc55305383"/>
      <w:bookmarkStart w:id="217" w:name="_Toc55285351"/>
      <w:bookmarkStart w:id="218" w:name="_Ref55280443"/>
      <w:bookmarkStart w:id="219" w:name="_Toc526948134"/>
      <w:bookmarkStart w:id="220" w:name="_Toc526927623"/>
      <w:bookmarkStart w:id="221" w:name="_Toc526851713"/>
      <w:bookmarkStart w:id="222" w:name="_Toc526851045"/>
      <w:bookmarkStart w:id="223" w:name="_Toc526948133"/>
      <w:bookmarkStart w:id="224" w:name="_Toc526927622"/>
      <w:bookmarkStart w:id="225" w:name="_Toc526851712"/>
      <w:bookmarkStart w:id="226" w:name="_Toc526851044"/>
      <w:bookmarkStart w:id="227" w:name="_Toc526948132"/>
      <w:bookmarkStart w:id="228" w:name="_Toc526927621"/>
      <w:bookmarkStart w:id="229" w:name="_Toc526851711"/>
      <w:bookmarkStart w:id="230" w:name="_Toc526851043"/>
      <w:bookmarkStart w:id="231" w:name="_Toc526948131"/>
      <w:bookmarkStart w:id="232" w:name="_Toc526927620"/>
      <w:bookmarkStart w:id="233" w:name="_Toc526851710"/>
      <w:bookmarkStart w:id="234" w:name="_Toc526851042"/>
      <w:bookmarkStart w:id="235" w:name="_Toc526948130"/>
      <w:bookmarkStart w:id="236" w:name="_Toc526927619"/>
      <w:bookmarkStart w:id="237" w:name="_Toc526851709"/>
      <w:bookmarkStart w:id="238" w:name="_Toc526851041"/>
      <w:bookmarkStart w:id="239" w:name="_Toc526948129"/>
      <w:bookmarkStart w:id="240" w:name="_Toc526927618"/>
      <w:bookmarkStart w:id="241" w:name="_Toc526851708"/>
      <w:bookmarkStart w:id="242" w:name="_Toc526851040"/>
      <w:bookmarkStart w:id="243" w:name="_Toc526948128"/>
      <w:bookmarkStart w:id="244" w:name="_Toc526927617"/>
      <w:bookmarkStart w:id="245" w:name="_Toc526851707"/>
      <w:bookmarkStart w:id="246" w:name="_Toc526851039"/>
      <w:bookmarkStart w:id="247" w:name="_Toc311975322"/>
      <w:bookmarkStart w:id="248" w:name="_Toc502257156"/>
      <w:bookmarkStart w:id="249" w:name="_Toc501038056"/>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Pr>
          <w:sz w:val="26"/>
        </w:rPr>
        <w:t>Подача Заявок и их прием</w:t>
      </w:r>
      <w:bookmarkStart w:id="250" w:name="_Hlk524091094"/>
      <w:bookmarkEnd w:id="212"/>
      <w:bookmarkEnd w:id="213"/>
      <w:bookmarkEnd w:id="214"/>
      <w:bookmarkEnd w:id="215"/>
      <w:bookmarkEnd w:id="216"/>
      <w:bookmarkEnd w:id="217"/>
      <w:bookmarkEnd w:id="218"/>
      <w:bookmarkEnd w:id="250"/>
    </w:p>
    <w:p>
      <w:pPr>
        <w:pStyle w:val="26"/>
        <w:numPr>
          <w:ilvl w:val="2"/>
          <w:numId w:val="4"/>
        </w:numPr>
        <w:tabs>
          <w:tab w:val="clear" w:pos="567"/>
        </w:tabs>
        <w:ind w:left="1134" w:hanging="1134"/>
        <w:jc w:val="both"/>
        <w:rPr>
          <w:b w:val="false"/>
          <w:b w:val="false"/>
          <w:bCs/>
        </w:rPr>
      </w:pPr>
      <w:r>
        <w:rPr>
          <w:b w:val="false"/>
          <w:bCs/>
        </w:rPr>
        <w:t xml:space="preserve">Заявитель вправе подать Заявку на участие в Процедуре в любое время начиная с даты официального размещения Извещения (пункт </w:t>
      </w:r>
      <w:r>
        <w:rPr>
          <w:b w:val="false"/>
          <w:bCs/>
        </w:rPr>
        <w:fldChar w:fldCharType="begin"/>
      </w:r>
      <w:r>
        <w:rPr>
          <w:b w:val="false"/>
          <w:bCs/>
        </w:rPr>
        <w:instrText xml:space="preserve"> REF _Ref384115739 \r \h </w:instrText>
      </w:r>
      <w:r>
        <w:rPr>
          <w:b w:val="false"/>
          <w:bCs/>
        </w:rPr>
        <w:fldChar w:fldCharType="separate"/>
      </w:r>
      <w:r>
        <w:rPr>
          <w:b w:val="false"/>
          <w:bCs/>
        </w:rPr>
        <w:t>1.2.9</w:t>
      </w:r>
      <w:r>
        <w:rPr>
          <w:b w:val="false"/>
          <w:bCs/>
        </w:rPr>
        <w:fldChar w:fldCharType="end"/>
      </w:r>
      <w:r>
        <w:rPr>
          <w:b w:val="false"/>
          <w:bCs/>
        </w:rPr>
        <w:t xml:space="preserve">) и до окончания срока подачи Заявок, указанного в пункте </w:t>
      </w:r>
      <w:r>
        <w:rPr>
          <w:rStyle w:val="Style11"/>
          <w:b/>
          <w:bCs/>
          <w:i w:val="false"/>
          <w:shd w:fill="auto" w:val="clear"/>
        </w:rPr>
        <w:fldChar w:fldCharType="begin"/>
      </w:r>
      <w:r>
        <w:rPr>
          <w:rStyle w:val="Style11"/>
          <w:i w:val="false"/>
          <w:b/>
          <w:shd w:fill="auto" w:val="clear"/>
          <w:bCs/>
        </w:rPr>
        <w:instrText xml:space="preserve"> REF _Ref389823218 \r \h </w:instrText>
      </w:r>
      <w:r>
        <w:rPr>
          <w:rStyle w:val="Style11"/>
          <w:i w:val="false"/>
          <w:b/>
          <w:shd w:fill="auto" w:val="clear"/>
          <w:bCs/>
        </w:rPr>
        <w:fldChar w:fldCharType="separate"/>
      </w:r>
      <w:r>
        <w:rPr>
          <w:rStyle w:val="Style11"/>
          <w:i w:val="false"/>
          <w:b/>
          <w:shd w:fill="auto" w:val="clear"/>
          <w:bCs/>
        </w:rPr>
        <w:t>1.2.13</w:t>
      </w:r>
      <w:r>
        <w:rPr>
          <w:rStyle w:val="Style11"/>
          <w:i w:val="false"/>
          <w:b/>
          <w:shd w:fill="auto" w:val="clear"/>
          <w:bCs/>
        </w:rPr>
        <w:fldChar w:fldCharType="end"/>
      </w:r>
      <w:r>
        <w:rPr>
          <w:rStyle w:val="Style11"/>
          <w:b/>
          <w:i w:val="false"/>
          <w:shd w:fill="auto" w:val="clear"/>
        </w:rPr>
        <w:t>3</w:t>
      </w:r>
      <w:r>
        <w:rPr>
          <w:b w:val="false"/>
          <w:bCs/>
        </w:rPr>
        <w:t xml:space="preserve">. </w:t>
      </w:r>
    </w:p>
    <w:p>
      <w:pPr>
        <w:pStyle w:val="26"/>
        <w:numPr>
          <w:ilvl w:val="2"/>
          <w:numId w:val="4"/>
        </w:numPr>
        <w:tabs>
          <w:tab w:val="clear" w:pos="567"/>
        </w:tabs>
        <w:ind w:left="1134" w:hanging="1134"/>
        <w:jc w:val="both"/>
        <w:rPr>
          <w:b w:val="false"/>
          <w:b w:val="false"/>
          <w:bCs/>
        </w:rPr>
      </w:pPr>
      <w:r>
        <w:rPr>
          <w:b w:val="false"/>
          <w:bCs/>
        </w:rPr>
        <w:t>Подача Заявителем Заявки означает его безоговорочное согласие с условиями участия в Процедуре, содержащимися в Документации (включая все приложения к ней).</w:t>
      </w:r>
    </w:p>
    <w:p>
      <w:pPr>
        <w:pStyle w:val="26"/>
        <w:numPr>
          <w:ilvl w:val="2"/>
          <w:numId w:val="4"/>
        </w:numPr>
        <w:tabs>
          <w:tab w:val="clear" w:pos="567"/>
        </w:tabs>
        <w:ind w:left="1134" w:hanging="1134"/>
        <w:jc w:val="both"/>
        <w:rPr>
          <w:b w:val="false"/>
          <w:b w:val="false"/>
          <w:bCs/>
        </w:rPr>
      </w:pPr>
      <w:bookmarkStart w:id="251" w:name="_Ref56229451"/>
      <w:bookmarkStart w:id="252" w:name="_Toc329344073"/>
      <w:bookmarkStart w:id="253" w:name="_Ref268012040"/>
      <w:bookmarkStart w:id="254" w:name="_Toc210452306"/>
      <w:bookmarkStart w:id="255" w:name="_Toc170292276"/>
      <w:bookmarkStart w:id="256" w:name="_Toc115776303"/>
      <w:bookmarkEnd w:id="251"/>
      <w:bookmarkEnd w:id="252"/>
      <w:bookmarkEnd w:id="253"/>
      <w:bookmarkEnd w:id="254"/>
      <w:bookmarkEnd w:id="255"/>
      <w:bookmarkEnd w:id="256"/>
      <w:r>
        <w:rPr>
          <w:b w:val="false"/>
          <w:bCs/>
        </w:rPr>
        <w:t xml:space="preserve">Заявка должна быть подана Заявителем посредством функциональности ЭТП согласно </w:t>
      </w:r>
      <w:r>
        <w:rPr>
          <w:b w:val="false"/>
        </w:rPr>
        <w:t>вышеуказанным требованиям</w:t>
      </w:r>
      <w:r>
        <w:rPr>
          <w:b w:val="false"/>
          <w:bCs/>
        </w:rPr>
        <w:t>.</w:t>
      </w:r>
    </w:p>
    <w:p>
      <w:pPr>
        <w:pStyle w:val="26"/>
        <w:numPr>
          <w:ilvl w:val="2"/>
          <w:numId w:val="4"/>
        </w:numPr>
        <w:tabs>
          <w:tab w:val="clear" w:pos="567"/>
        </w:tabs>
        <w:ind w:left="1134" w:hanging="1134"/>
        <w:jc w:val="both"/>
        <w:rPr>
          <w:b w:val="false"/>
          <w:b w:val="false"/>
          <w:bCs/>
        </w:rPr>
      </w:pPr>
      <w:r>
        <w:rPr>
          <w:b w:val="false"/>
          <w:bCs/>
        </w:rPr>
        <w:t xml:space="preserve">Правила подачи Заявок определяются Регламентом ЭТП. Заявки,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не рассматриваются. </w:t>
      </w:r>
    </w:p>
    <w:p>
      <w:pPr>
        <w:pStyle w:val="26"/>
        <w:numPr>
          <w:ilvl w:val="2"/>
          <w:numId w:val="4"/>
        </w:numPr>
        <w:tabs>
          <w:tab w:val="clear" w:pos="567"/>
        </w:tabs>
        <w:ind w:left="1134" w:hanging="1134"/>
        <w:jc w:val="both"/>
        <w:rPr>
          <w:b w:val="false"/>
          <w:b w:val="false"/>
          <w:bCs/>
        </w:rPr>
      </w:pPr>
      <w:r>
        <w:rPr>
          <w:b w:val="false"/>
          <w:bCs/>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26"/>
        <w:numPr>
          <w:ilvl w:val="2"/>
          <w:numId w:val="4"/>
        </w:numPr>
        <w:tabs>
          <w:tab w:val="clear" w:pos="567"/>
        </w:tabs>
        <w:ind w:left="1134" w:hanging="1134"/>
        <w:jc w:val="both"/>
        <w:rPr>
          <w:b w:val="false"/>
          <w:b w:val="false"/>
          <w:bCs/>
        </w:rPr>
      </w:pPr>
      <w:r>
        <w:rPr>
          <w:b w:val="false"/>
          <w:bCs/>
        </w:rPr>
        <w:t>Оператор ЭТП до окончания срока подачи Заявок обеспечивает конфиденциальность информации, содержащейся в поданных Заявках.</w:t>
      </w:r>
    </w:p>
    <w:p>
      <w:pPr>
        <w:pStyle w:val="2"/>
        <w:numPr>
          <w:ilvl w:val="1"/>
          <w:numId w:val="4"/>
        </w:numPr>
        <w:ind w:left="1134" w:hanging="1134"/>
        <w:rPr>
          <w:sz w:val="26"/>
        </w:rPr>
      </w:pPr>
      <w:bookmarkStart w:id="257" w:name="_Ref56229451"/>
      <w:bookmarkStart w:id="258" w:name="_Toc329344073"/>
      <w:bookmarkStart w:id="259" w:name="_Ref268012040"/>
      <w:bookmarkStart w:id="260" w:name="_Toc210452306"/>
      <w:bookmarkStart w:id="261" w:name="_Toc170292276"/>
      <w:bookmarkStart w:id="262" w:name="_Toc115776303"/>
      <w:bookmarkStart w:id="263" w:name="_Toc69728969"/>
      <w:bookmarkStart w:id="264" w:name="_Toc57314655"/>
      <w:bookmarkStart w:id="265" w:name="_Toc55305384"/>
      <w:bookmarkStart w:id="266" w:name="_Toc55285352"/>
      <w:bookmarkStart w:id="267" w:name="_Ref55280448"/>
      <w:bookmarkStart w:id="268" w:name="_Toc512721009"/>
      <w:bookmarkStart w:id="269" w:name="_Toc536798415"/>
      <w:bookmarkStart w:id="270" w:name="_Toc69728979"/>
      <w:bookmarkStart w:id="271" w:name="_Toc57314665"/>
      <w:bookmarkStart w:id="272" w:name="_Ref56251474"/>
      <w:bookmarkStart w:id="273" w:name="_Toc453230001"/>
      <w:bookmarkStart w:id="274" w:name="_Toc453146057"/>
      <w:bookmarkStart w:id="275" w:name="_Toc452451041"/>
      <w:bookmarkStart w:id="276" w:name="_Toc526948138"/>
      <w:bookmarkStart w:id="277" w:name="_Toc526948137"/>
      <w:bookmarkEnd w:id="257"/>
      <w:bookmarkEnd w:id="258"/>
      <w:bookmarkEnd w:id="259"/>
      <w:bookmarkEnd w:id="260"/>
      <w:bookmarkEnd w:id="261"/>
      <w:bookmarkEnd w:id="262"/>
      <w:bookmarkEnd w:id="263"/>
      <w:bookmarkEnd w:id="264"/>
      <w:bookmarkEnd w:id="265"/>
      <w:bookmarkEnd w:id="266"/>
      <w:bookmarkEnd w:id="267"/>
      <w:bookmarkEnd w:id="268"/>
      <w:bookmarkEnd w:id="273"/>
      <w:bookmarkEnd w:id="274"/>
      <w:bookmarkEnd w:id="275"/>
      <w:bookmarkEnd w:id="276"/>
      <w:bookmarkEnd w:id="277"/>
      <w:r>
        <w:rPr>
          <w:sz w:val="26"/>
        </w:rPr>
        <w:t>Изменение и отзыв Заявок</w:t>
      </w:r>
      <w:bookmarkEnd w:id="269"/>
      <w:bookmarkEnd w:id="270"/>
      <w:bookmarkEnd w:id="271"/>
      <w:bookmarkEnd w:id="272"/>
    </w:p>
    <w:p>
      <w:pPr>
        <w:pStyle w:val="Style37"/>
        <w:numPr>
          <w:ilvl w:val="2"/>
          <w:numId w:val="4"/>
        </w:numPr>
        <w:tabs>
          <w:tab w:val="clear" w:pos="567"/>
          <w:tab w:val="left" w:pos="3828" w:leader="none"/>
        </w:tabs>
        <w:ind w:left="1134" w:hanging="1134"/>
        <w:rPr/>
      </w:pPr>
      <w:bookmarkStart w:id="278" w:name="_Ref526850901"/>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1.2.13</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bookmarkEnd w:id="278"/>
    </w:p>
    <w:p>
      <w:pPr>
        <w:pStyle w:val="Style37"/>
        <w:numPr>
          <w:ilvl w:val="2"/>
          <w:numId w:val="4"/>
        </w:numPr>
        <w:tabs>
          <w:tab w:val="clear" w:pos="567"/>
          <w:tab w:val="left" w:pos="3828" w:leader="none"/>
        </w:tabs>
        <w:ind w:left="1134" w:hanging="1134"/>
        <w:rPr/>
      </w:pPr>
      <w:r>
        <w:rPr/>
        <w:t>Отзыв Заявителем ранее поданной Заявки является отказом от участия в Процедуре, отозванные Заявки не рассматриваются Организатором.</w:t>
      </w:r>
    </w:p>
    <w:p>
      <w:pPr>
        <w:pStyle w:val="Style37"/>
        <w:numPr>
          <w:ilvl w:val="2"/>
          <w:numId w:val="4"/>
        </w:numPr>
        <w:tabs>
          <w:tab w:val="clear" w:pos="567"/>
          <w:tab w:val="left" w:pos="3828" w:leader="none"/>
        </w:tabs>
        <w:ind w:left="1134" w:hanging="1134"/>
        <w:rPr/>
      </w:pPr>
      <w:r>
        <w:rPr/>
        <w:t>Изменение и отзыв Заявителем ранее поданной Заявки осуществляется посредством функциональности ЭТП, а подробный порядок определяется Регламентом ЭТП.</w:t>
      </w:r>
    </w:p>
    <w:p>
      <w:pPr>
        <w:pStyle w:val="2"/>
        <w:numPr>
          <w:ilvl w:val="1"/>
          <w:numId w:val="4"/>
        </w:numPr>
        <w:ind w:left="1134" w:hanging="1134"/>
        <w:rPr>
          <w:sz w:val="26"/>
        </w:rPr>
      </w:pPr>
      <w:bookmarkStart w:id="279" w:name="_Toc512721009"/>
      <w:bookmarkStart w:id="280" w:name="_Toc536798416"/>
      <w:bookmarkStart w:id="281" w:name="_Ref524002679"/>
      <w:bookmarkStart w:id="282" w:name="_Toc516980508"/>
      <w:bookmarkEnd w:id="279"/>
      <w:bookmarkEnd w:id="282"/>
      <w:r>
        <w:rPr>
          <w:sz w:val="26"/>
        </w:rPr>
        <w:t>Открытие доступа к Заявкам</w:t>
      </w:r>
      <w:bookmarkEnd w:id="280"/>
      <w:bookmarkEnd w:id="281"/>
    </w:p>
    <w:p>
      <w:pPr>
        <w:pStyle w:val="Style37"/>
        <w:numPr>
          <w:ilvl w:val="2"/>
          <w:numId w:val="4"/>
        </w:numPr>
        <w:tabs>
          <w:tab w:val="clear" w:pos="567"/>
          <w:tab w:val="left" w:pos="3828" w:leader="none"/>
        </w:tabs>
        <w:ind w:left="1134" w:hanging="1134"/>
        <w:rPr/>
      </w:pPr>
      <w:bookmarkStart w:id="283" w:name="_Ref324334912"/>
      <w:bookmarkStart w:id="284" w:name="_Ref56221780"/>
      <w:bookmarkEnd w:id="283"/>
      <w:bookmarkEnd w:id="284"/>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85"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1.2.13</w:t>
      </w:r>
      <w:r>
        <w:rPr/>
        <w:fldChar w:fldCharType="end"/>
      </w:r>
      <w:bookmarkEnd w:id="285"/>
      <w:r>
        <w:rPr/>
        <w:t xml:space="preserve">. </w:t>
      </w:r>
    </w:p>
    <w:p>
      <w:pPr>
        <w:pStyle w:val="Style37"/>
        <w:numPr>
          <w:ilvl w:val="2"/>
          <w:numId w:val="4"/>
        </w:numPr>
        <w:tabs>
          <w:tab w:val="clear" w:pos="567"/>
          <w:tab w:val="left" w:pos="3828" w:leader="none"/>
        </w:tabs>
        <w:ind w:left="1134" w:hanging="1134"/>
        <w:rPr/>
      </w:pPr>
      <w:r>
        <w:rPr/>
        <w:t>Оператор ЭТП предоставляет Организатору доступ одновременно ко всем поданным Заявкам в полном объеме.</w:t>
      </w:r>
    </w:p>
    <w:p>
      <w:pPr>
        <w:pStyle w:val="Style37"/>
        <w:numPr>
          <w:ilvl w:val="2"/>
          <w:numId w:val="4"/>
        </w:numPr>
        <w:tabs>
          <w:tab w:val="clear" w:pos="567"/>
          <w:tab w:val="left" w:pos="3828" w:leader="none"/>
        </w:tabs>
        <w:ind w:left="1134" w:hanging="1134"/>
        <w:rPr/>
      </w:pPr>
      <w:r>
        <w:rPr/>
        <w:t>Порядок получения заявителями информации о поступивших Заявках через ЭТП определяется Регламентом ЭТП.</w:t>
      </w:r>
    </w:p>
    <w:p>
      <w:pPr>
        <w:pStyle w:val="2"/>
        <w:numPr>
          <w:ilvl w:val="1"/>
          <w:numId w:val="4"/>
        </w:numPr>
        <w:ind w:left="1134" w:hanging="1134"/>
        <w:jc w:val="both"/>
        <w:rPr>
          <w:sz w:val="26"/>
        </w:rPr>
      </w:pPr>
      <w:bookmarkStart w:id="286" w:name="_Toc69728969"/>
      <w:bookmarkStart w:id="287" w:name="_Toc57314655"/>
      <w:bookmarkStart w:id="288" w:name="_Toc55305384"/>
      <w:bookmarkStart w:id="289" w:name="_Toc55285352"/>
      <w:bookmarkStart w:id="290" w:name="_Ref55280448"/>
      <w:bookmarkStart w:id="291" w:name="_Ref324334912"/>
      <w:bookmarkStart w:id="292" w:name="_Ref56221780"/>
      <w:bookmarkStart w:id="293" w:name="_Toc536798417"/>
      <w:bookmarkStart w:id="294" w:name="_Ref514620397"/>
      <w:bookmarkStart w:id="295" w:name="_Toc69728970"/>
      <w:bookmarkStart w:id="296" w:name="_Toc57314656"/>
      <w:bookmarkStart w:id="297" w:name="_Toc55305385"/>
      <w:bookmarkStart w:id="298" w:name="_Toc55285353"/>
      <w:bookmarkStart w:id="299" w:name="_Ref55280453"/>
      <w:bookmarkStart w:id="300" w:name="_Toc516980532"/>
      <w:bookmarkStart w:id="301" w:name="_Toc516961471"/>
      <w:bookmarkStart w:id="302" w:name="_Toc516961325"/>
      <w:bookmarkStart w:id="303" w:name="_Toc516980531"/>
      <w:bookmarkStart w:id="304" w:name="_Toc516961470"/>
      <w:bookmarkStart w:id="305" w:name="_Toc516961324"/>
      <w:bookmarkStart w:id="306" w:name="_Toc516980530"/>
      <w:bookmarkStart w:id="307" w:name="_Toc516961469"/>
      <w:bookmarkStart w:id="308" w:name="_Toc516961323"/>
      <w:bookmarkStart w:id="309" w:name="_Toc516980529"/>
      <w:bookmarkStart w:id="310" w:name="_Toc516961468"/>
      <w:bookmarkStart w:id="311" w:name="_Toc516961322"/>
      <w:bookmarkStart w:id="312" w:name="_Toc516980528"/>
      <w:bookmarkStart w:id="313" w:name="_Toc516961467"/>
      <w:bookmarkStart w:id="314" w:name="_Toc516961321"/>
      <w:bookmarkStart w:id="315" w:name="_Toc516980527"/>
      <w:bookmarkStart w:id="316" w:name="_Toc516961466"/>
      <w:bookmarkStart w:id="317" w:name="_Toc516961320"/>
      <w:bookmarkStart w:id="318" w:name="_Toc516980526"/>
      <w:bookmarkStart w:id="319" w:name="_Toc516961465"/>
      <w:bookmarkStart w:id="320" w:name="_Toc516961319"/>
      <w:bookmarkStart w:id="321" w:name="_Toc516980525"/>
      <w:bookmarkStart w:id="322" w:name="_Toc516961464"/>
      <w:bookmarkStart w:id="323" w:name="_Toc516961318"/>
      <w:bookmarkStart w:id="324" w:name="_Toc516980524"/>
      <w:bookmarkStart w:id="325" w:name="_Toc516961463"/>
      <w:bookmarkStart w:id="326" w:name="_Toc516961317"/>
      <w:bookmarkStart w:id="327" w:name="_Toc516980523"/>
      <w:bookmarkStart w:id="328" w:name="_Toc516961462"/>
      <w:bookmarkStart w:id="329" w:name="_Toc516961316"/>
      <w:bookmarkStart w:id="330" w:name="_Toc516980522"/>
      <w:bookmarkStart w:id="331" w:name="_Toc516961461"/>
      <w:bookmarkStart w:id="332" w:name="_Toc516961315"/>
      <w:bookmarkStart w:id="333" w:name="_Toc516980521"/>
      <w:bookmarkStart w:id="334" w:name="_Toc516961460"/>
      <w:bookmarkStart w:id="335" w:name="_Toc516961314"/>
      <w:bookmarkStart w:id="336" w:name="_Toc516980520"/>
      <w:bookmarkStart w:id="337" w:name="_Toc516961459"/>
      <w:bookmarkStart w:id="338" w:name="_Toc516961313"/>
      <w:bookmarkStart w:id="339" w:name="_Toc516980518"/>
      <w:bookmarkStart w:id="340" w:name="_Toc516961457"/>
      <w:bookmarkStart w:id="341" w:name="_Toc516961311"/>
      <w:bookmarkStart w:id="342" w:name="_Toc516980517"/>
      <w:bookmarkStart w:id="343" w:name="_Toc516961456"/>
      <w:bookmarkStart w:id="344" w:name="_Toc516961310"/>
      <w:bookmarkStart w:id="345" w:name="_Toc516980516"/>
      <w:bookmarkStart w:id="346" w:name="_Toc516961455"/>
      <w:bookmarkStart w:id="347" w:name="_Toc516961309"/>
      <w:bookmarkStart w:id="348" w:name="_Toc516980515"/>
      <w:bookmarkStart w:id="349" w:name="_Toc516961454"/>
      <w:bookmarkStart w:id="350" w:name="_Toc516961308"/>
      <w:bookmarkStart w:id="351" w:name="_Toc516980514"/>
      <w:bookmarkStart w:id="352" w:name="_Toc516961453"/>
      <w:bookmarkStart w:id="353" w:name="_Toc516961307"/>
      <w:bookmarkStart w:id="354" w:name="_Toc516980513"/>
      <w:bookmarkStart w:id="355" w:name="_Toc516961452"/>
      <w:bookmarkStart w:id="356" w:name="_Toc516961306"/>
      <w:bookmarkStart w:id="357" w:name="_Toc516980512"/>
      <w:bookmarkStart w:id="358" w:name="_Toc516961451"/>
      <w:bookmarkStart w:id="359" w:name="_Toc516961305"/>
      <w:bookmarkStart w:id="360" w:name="_Toc516980511"/>
      <w:bookmarkStart w:id="361" w:name="_Toc516961450"/>
      <w:bookmarkStart w:id="362" w:name="_Toc516961304"/>
      <w:bookmarkEnd w:id="286"/>
      <w:bookmarkEnd w:id="287"/>
      <w:bookmarkEnd w:id="288"/>
      <w:bookmarkEnd w:id="289"/>
      <w:bookmarkEnd w:id="290"/>
      <w:bookmarkEnd w:id="291"/>
      <w:bookmarkEnd w:id="292"/>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Pr>
          <w:sz w:val="26"/>
        </w:rPr>
        <w:t>Оценка и сопоставление заявок</w:t>
      </w:r>
      <w:bookmarkEnd w:id="294"/>
      <w:bookmarkEnd w:id="295"/>
      <w:bookmarkEnd w:id="296"/>
      <w:bookmarkEnd w:id="297"/>
      <w:bookmarkEnd w:id="298"/>
      <w:bookmarkEnd w:id="299"/>
      <w:r>
        <w:rPr>
          <w:sz w:val="26"/>
        </w:rPr>
        <w:t xml:space="preserve">. Подведение итогов </w:t>
      </w:r>
      <w:bookmarkEnd w:id="293"/>
      <w:r>
        <w:rPr>
          <w:sz w:val="26"/>
        </w:rPr>
        <w:t>Процедуры</w:t>
      </w:r>
    </w:p>
    <w:p>
      <w:pPr>
        <w:pStyle w:val="Style37"/>
        <w:numPr>
          <w:ilvl w:val="2"/>
          <w:numId w:val="4"/>
        </w:numPr>
        <w:tabs>
          <w:tab w:val="clear" w:pos="567"/>
          <w:tab w:val="left" w:pos="3828" w:leader="none"/>
        </w:tabs>
        <w:ind w:left="1134" w:hanging="1134"/>
        <w:rPr/>
      </w:pPr>
      <w:bookmarkStart w:id="363" w:name="_Ref55304418"/>
      <w:r>
        <w:rPr/>
        <w:t xml:space="preserve">Дата окончания срока оценки и сопоставления Заявок и подведения итогов указана в пункте </w:t>
      </w:r>
      <w:r>
        <w:rPr/>
        <w:fldChar w:fldCharType="begin"/>
      </w:r>
      <w:r>
        <w:rPr/>
        <w:instrText xml:space="preserve"> REF _Ref334789513 \r \h </w:instrText>
      </w:r>
      <w:r>
        <w:rPr/>
        <w:fldChar w:fldCharType="separate"/>
      </w:r>
      <w:r>
        <w:rPr/>
        <w:t>1.2.14</w:t>
      </w:r>
      <w:r>
        <w:rPr/>
        <w:fldChar w:fldCharType="end"/>
      </w:r>
      <w:r>
        <w:rPr/>
        <w:t>4.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37"/>
        <w:numPr>
          <w:ilvl w:val="2"/>
          <w:numId w:val="4"/>
        </w:numPr>
        <w:tabs>
          <w:tab w:val="clear" w:pos="567"/>
          <w:tab w:val="left" w:pos="3828" w:leader="none"/>
        </w:tabs>
        <w:ind w:left="1134" w:hanging="1134"/>
        <w:rPr/>
      </w:pPr>
      <w:bookmarkStart w:id="364" w:name="_Ref55304418"/>
      <w:bookmarkStart w:id="365" w:name="_Ref524098469"/>
      <w:r>
        <w:rPr/>
        <w:t xml:space="preserve">В рамках оценки и сопоставления Заявок </w:t>
      </w:r>
      <w:bookmarkEnd w:id="364"/>
      <w:r>
        <w:rPr/>
        <w:t>осуществляется проверка каждой Заявки на предмет соответствия отборочным критериям</w:t>
      </w:r>
      <w:bookmarkStart w:id="366" w:name="_Ref55304419"/>
      <w:r>
        <w:rPr/>
        <w:t>, установленным в Приложении № 5 к Документации.</w:t>
      </w:r>
      <w:bookmarkEnd w:id="365"/>
    </w:p>
    <w:p>
      <w:pPr>
        <w:pStyle w:val="Style37"/>
        <w:numPr>
          <w:ilvl w:val="2"/>
          <w:numId w:val="4"/>
        </w:numPr>
        <w:tabs>
          <w:tab w:val="clear" w:pos="567"/>
          <w:tab w:val="left" w:pos="3828" w:leader="none"/>
        </w:tabs>
        <w:ind w:left="1134" w:hanging="1134"/>
        <w:rPr/>
      </w:pPr>
      <w:r>
        <w:rPr/>
        <w:t>Оценка и сопоставление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37"/>
        <w:numPr>
          <w:ilvl w:val="2"/>
          <w:numId w:val="4"/>
        </w:numPr>
        <w:tabs>
          <w:tab w:val="clear" w:pos="567"/>
          <w:tab w:val="left" w:pos="3828" w:leader="none"/>
        </w:tabs>
        <w:ind w:left="1134" w:hanging="1134"/>
        <w:rPr/>
      </w:pPr>
      <w:bookmarkStart w:id="367" w:name="_Ref55304422"/>
      <w:bookmarkEnd w:id="366"/>
      <w:bookmarkEnd w:id="367"/>
      <w:r>
        <w:rPr/>
        <w:t xml:space="preserve">Заявители / Участники не вправе каким-либо способом влиять, участвовать или присутствовать при оценке и сопоставлении Заявок, а также вступать в контакты с лицами, выполняющими рассмотрение и проверку Заявок. </w:t>
      </w:r>
    </w:p>
    <w:p>
      <w:pPr>
        <w:pStyle w:val="Style37"/>
        <w:numPr>
          <w:ilvl w:val="2"/>
          <w:numId w:val="4"/>
        </w:numPr>
        <w:tabs>
          <w:tab w:val="clear" w:pos="567"/>
          <w:tab w:val="left" w:pos="3828" w:leader="none"/>
        </w:tabs>
        <w:ind w:left="1134" w:hanging="1134"/>
        <w:rPr/>
      </w:pPr>
      <w:bookmarkStart w:id="368" w:name="_Ref481133127"/>
      <w:r>
        <w:rPr/>
        <w:t>По результатам оценки и сопоставления Заявок Комиссия отклоняет несоответствующие Заявки по следующим основаниям:</w:t>
      </w:r>
      <w:bookmarkEnd w:id="368"/>
    </w:p>
    <w:p>
      <w:pPr>
        <w:pStyle w:val="Style39"/>
        <w:numPr>
          <w:ilvl w:val="4"/>
          <w:numId w:val="4"/>
        </w:numPr>
        <w:tabs>
          <w:tab w:val="clear" w:pos="567"/>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9"/>
        <w:numPr>
          <w:ilvl w:val="4"/>
          <w:numId w:val="4"/>
        </w:numPr>
        <w:tabs>
          <w:tab w:val="clear" w:pos="567"/>
          <w:tab w:val="left" w:pos="1844" w:leader="none"/>
        </w:tabs>
        <w:ind w:left="1844" w:hanging="567"/>
        <w:rPr/>
      </w:pPr>
      <w:r>
        <w:rPr/>
        <w:t>несоответствие Заявителя требованиям Документации;</w:t>
      </w:r>
    </w:p>
    <w:p>
      <w:pPr>
        <w:pStyle w:val="Style39"/>
        <w:numPr>
          <w:ilvl w:val="4"/>
          <w:numId w:val="4"/>
        </w:numPr>
        <w:tabs>
          <w:tab w:val="clear" w:pos="567"/>
          <w:tab w:val="left" w:pos="1844" w:leader="none"/>
        </w:tabs>
        <w:ind w:left="1844" w:hanging="567"/>
        <w:rPr/>
      </w:pPr>
      <w:r>
        <w:rPr/>
        <w:t>несоответствие предлагаемых договорных условий, включаю цену предложения, требованиям Документации.</w:t>
      </w:r>
    </w:p>
    <w:p>
      <w:pPr>
        <w:pStyle w:val="Style37"/>
        <w:numPr>
          <w:ilvl w:val="2"/>
          <w:numId w:val="4"/>
        </w:numPr>
        <w:tabs>
          <w:tab w:val="clear" w:pos="567"/>
          <w:tab w:val="left" w:pos="3828" w:leader="none"/>
        </w:tabs>
        <w:ind w:left="1134" w:hanging="1134"/>
        <w:rPr/>
      </w:pPr>
      <w:r>
        <w:rPr/>
        <w:t>В ходе оценки и сопоставления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грамматических ошибок в документах, представленных в составе Заявки на участие в Процедуре.</w:t>
      </w:r>
    </w:p>
    <w:p>
      <w:pPr>
        <w:pStyle w:val="Style37"/>
        <w:numPr>
          <w:ilvl w:val="2"/>
          <w:numId w:val="4"/>
        </w:numPr>
        <w:tabs>
          <w:tab w:val="clear" w:pos="567"/>
          <w:tab w:val="left" w:pos="3828" w:leader="none"/>
        </w:tabs>
        <w:ind w:left="1134" w:hanging="1134"/>
        <w:rPr/>
      </w:pPr>
      <w:r>
        <w:rPr/>
        <w:t>При уточнении Заявок на участие в Процедуре не допускается создание преимущественных условий одному или нескольким Заявителям / Участникам.</w:t>
      </w:r>
    </w:p>
    <w:p>
      <w:pPr>
        <w:pStyle w:val="Style37"/>
        <w:numPr>
          <w:ilvl w:val="2"/>
          <w:numId w:val="4"/>
        </w:numPr>
        <w:tabs>
          <w:tab w:val="clear" w:pos="567"/>
          <w:tab w:val="left" w:pos="3828" w:leader="none"/>
        </w:tabs>
        <w:ind w:left="1134" w:hanging="1134"/>
        <w:rPr/>
      </w:pPr>
      <w:bookmarkStart w:id="369" w:name="_Ref524098482"/>
      <w:r>
        <w:rPr/>
        <w:t>При наличии сомнений в достоверности копии документа Комиссия вправе запросить для изучения оригинал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69"/>
    </w:p>
    <w:p>
      <w:pPr>
        <w:pStyle w:val="Style37"/>
        <w:numPr>
          <w:ilvl w:val="2"/>
          <w:numId w:val="4"/>
        </w:numPr>
        <w:tabs>
          <w:tab w:val="clear" w:pos="567"/>
          <w:tab w:val="left" w:pos="3828" w:leader="none"/>
        </w:tabs>
        <w:ind w:left="1134" w:hanging="1134"/>
        <w:rPr/>
      </w:pPr>
      <w:r>
        <w:rPr/>
        <w:t xml:space="preserve">Оценка и сопоставление Заявок производится на предмет размера, указанных в них цен Договора. </w:t>
      </w:r>
    </w:p>
    <w:p>
      <w:pPr>
        <w:pStyle w:val="Style37"/>
        <w:numPr>
          <w:ilvl w:val="2"/>
          <w:numId w:val="4"/>
        </w:numPr>
        <w:tabs>
          <w:tab w:val="clear" w:pos="567"/>
          <w:tab w:val="left" w:pos="3828" w:leader="none"/>
        </w:tabs>
        <w:ind w:left="1134" w:hanging="1134"/>
        <w:rPr/>
      </w:pPr>
      <w:bookmarkStart w:id="370" w:name="_Ref536792386"/>
      <w:r>
        <w:rPr/>
        <w:t>Решение Комиссии по определению Победителя оформляется протоколом о результатах Процедуры, в котором указываются в обязательном порядке:</w:t>
      </w:r>
      <w:bookmarkEnd w:id="370"/>
    </w:p>
    <w:p>
      <w:pPr>
        <w:pStyle w:val="Style39"/>
        <w:numPr>
          <w:ilvl w:val="4"/>
          <w:numId w:val="4"/>
        </w:numPr>
        <w:tabs>
          <w:tab w:val="clear" w:pos="567"/>
          <w:tab w:val="left" w:pos="1844" w:leader="none"/>
        </w:tabs>
        <w:ind w:left="1844" w:hanging="567"/>
        <w:rPr/>
      </w:pPr>
      <w:r>
        <w:rPr/>
        <w:t>дата и место составления протокола;</w:t>
      </w:r>
    </w:p>
    <w:p>
      <w:pPr>
        <w:pStyle w:val="Style39"/>
        <w:numPr>
          <w:ilvl w:val="4"/>
          <w:numId w:val="4"/>
        </w:numPr>
        <w:tabs>
          <w:tab w:val="clear" w:pos="567"/>
          <w:tab w:val="left" w:pos="1844" w:leader="none"/>
        </w:tabs>
        <w:ind w:left="1844" w:hanging="567"/>
        <w:rPr/>
      </w:pPr>
      <w:r>
        <w:rPr/>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p>
    <w:p>
      <w:pPr>
        <w:pStyle w:val="Style39"/>
        <w:numPr>
          <w:ilvl w:val="4"/>
          <w:numId w:val="4"/>
        </w:numPr>
        <w:tabs>
          <w:tab w:val="clear" w:pos="567"/>
          <w:tab w:val="left" w:pos="1844" w:leader="none"/>
        </w:tabs>
        <w:ind w:left="1844" w:hanging="567"/>
        <w:rPr/>
      </w:pPr>
      <w:r>
        <w:rPr/>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pPr>
        <w:pStyle w:val="Style39"/>
        <w:numPr>
          <w:ilvl w:val="4"/>
          <w:numId w:val="4"/>
        </w:numPr>
        <w:tabs>
          <w:tab w:val="clear" w:pos="567"/>
          <w:tab w:val="left" w:pos="1844" w:leader="none"/>
        </w:tabs>
        <w:ind w:left="1844" w:hanging="567"/>
        <w:rPr/>
      </w:pPr>
      <w:r>
        <w:rPr/>
        <w:t xml:space="preserve">причины, по которым Процедура признана несостоявшейся в соответствии с подразделом </w:t>
      </w:r>
      <w:r>
        <w:rPr/>
        <w:fldChar w:fldCharType="begin"/>
      </w:r>
      <w:r>
        <w:rPr/>
        <w:instrText xml:space="preserve"> REF _Ref514600896 \r \h </w:instrText>
      </w:r>
      <w:r>
        <w:rPr/>
        <w:fldChar w:fldCharType="separate"/>
      </w:r>
      <w:r>
        <w:rPr/>
        <w:t>5.10</w:t>
      </w:r>
      <w:r>
        <w:rPr/>
        <w:fldChar w:fldCharType="end"/>
      </w:r>
      <w:r>
        <w:rPr/>
        <w:t>0 (в случае ее признания таковой);</w:t>
      </w:r>
    </w:p>
    <w:p>
      <w:pPr>
        <w:pStyle w:val="Style39"/>
        <w:numPr>
          <w:ilvl w:val="4"/>
          <w:numId w:val="4"/>
        </w:numPr>
        <w:tabs>
          <w:tab w:val="clear" w:pos="567"/>
          <w:tab w:val="left" w:pos="1844" w:leader="none"/>
        </w:tabs>
        <w:ind w:left="1844" w:hanging="567"/>
        <w:rPr/>
      </w:pPr>
      <w:r>
        <w:rPr/>
        <w:t>ранжировка Участников по цене. Заявка Участника, занявшего первое место, объявляется победившей;</w:t>
      </w:r>
    </w:p>
    <w:p>
      <w:pPr>
        <w:pStyle w:val="Style39"/>
        <w:numPr>
          <w:ilvl w:val="4"/>
          <w:numId w:val="4"/>
        </w:numPr>
        <w:tabs>
          <w:tab w:val="clear" w:pos="567"/>
          <w:tab w:val="left" w:pos="1844" w:leader="none"/>
        </w:tabs>
        <w:ind w:left="1844" w:hanging="567"/>
        <w:rPr/>
      </w:pPr>
      <w:r>
        <w:rPr/>
        <w:t>решение о том, будет ли заключаться договор с Победителем;</w:t>
      </w:r>
    </w:p>
    <w:p>
      <w:pPr>
        <w:pStyle w:val="Style39"/>
        <w:numPr>
          <w:ilvl w:val="4"/>
          <w:numId w:val="4"/>
        </w:numPr>
        <w:tabs>
          <w:tab w:val="clear" w:pos="567"/>
          <w:tab w:val="left" w:pos="1844" w:leader="none"/>
        </w:tabs>
        <w:ind w:left="1844" w:hanging="567"/>
        <w:rPr/>
      </w:pPr>
      <w:r>
        <w:rPr/>
        <w:t>иные необходимые сведения.</w:t>
      </w:r>
    </w:p>
    <w:p>
      <w:pPr>
        <w:pStyle w:val="Style38"/>
        <w:numPr>
          <w:ilvl w:val="0"/>
          <w:numId w:val="0"/>
        </w:numPr>
        <w:ind w:left="1134" w:hanging="0"/>
        <w:rPr/>
      </w:pPr>
      <w:r>
        <w:rPr/>
        <w:t>После оформления и подписания председателем и членами Комиссии протокола о результатах Процедуры, Организатор размещает его на ЭТП в течение 3 (трех) рабочих дней.</w:t>
      </w:r>
    </w:p>
    <w:p>
      <w:pPr>
        <w:pStyle w:val="Style37"/>
        <w:numPr>
          <w:ilvl w:val="2"/>
          <w:numId w:val="4"/>
        </w:numPr>
        <w:tabs>
          <w:tab w:val="clear" w:pos="567"/>
          <w:tab w:val="left" w:pos="3828" w:leader="none"/>
        </w:tabs>
        <w:ind w:left="1134" w:hanging="1134"/>
        <w:rPr/>
      </w:pPr>
      <w:bookmarkStart w:id="371" w:name="_Ref55304422"/>
      <w:bookmarkStart w:id="372" w:name="_Ref524100091"/>
      <w:bookmarkEnd w:id="371"/>
      <w:r>
        <w:rPr/>
        <w:t>Процедура считается завершенной с момента размещения на ЭТП Протокола о результатах Процедуры.</w:t>
      </w:r>
      <w:bookmarkEnd w:id="372"/>
    </w:p>
    <w:p>
      <w:pPr>
        <w:pStyle w:val="Style37"/>
        <w:numPr>
          <w:ilvl w:val="2"/>
          <w:numId w:val="4"/>
        </w:numPr>
        <w:tabs>
          <w:tab w:val="clear" w:pos="567"/>
          <w:tab w:val="left" w:pos="3828" w:leader="none"/>
        </w:tabs>
        <w:ind w:left="1134" w:hanging="1134"/>
        <w:rPr/>
      </w:pPr>
      <w:r>
        <w:rPr/>
        <w:t>Победителем процедуры продажи признается:</w:t>
      </w:r>
    </w:p>
    <w:p>
      <w:pPr>
        <w:pStyle w:val="ListParagraph"/>
        <w:numPr>
          <w:ilvl w:val="0"/>
          <w:numId w:val="17"/>
        </w:numPr>
        <w:tabs>
          <w:tab w:val="clear" w:pos="567"/>
          <w:tab w:val="left" w:pos="993" w:leader="none"/>
        </w:tabs>
        <w:spacing w:lineRule="auto" w:line="276" w:before="0" w:after="0"/>
        <w:ind w:left="1843" w:hanging="567"/>
        <w:contextualSpacing w:val="false"/>
        <w:jc w:val="both"/>
        <w:outlineLvl w:val="1"/>
        <w:rPr>
          <w:rFonts w:ascii="Times New Roman" w:hAnsi="Times New Roman"/>
          <w:sz w:val="26"/>
        </w:rPr>
      </w:pPr>
      <w:r>
        <w:rPr>
          <w:rFonts w:ascii="Times New Roman" w:hAnsi="Times New Roman"/>
          <w:sz w:val="26"/>
        </w:rPr>
        <w:t>в случае если подана только одна Заявка на участие в Процедуре продажи или по результатам рассмотрения Заявок к участию в Процедуре продажи был допущен только один Участник – Участник, подавший такую Заявку;</w:t>
      </w:r>
    </w:p>
    <w:p>
      <w:pPr>
        <w:pStyle w:val="ListParagraph"/>
        <w:numPr>
          <w:ilvl w:val="0"/>
          <w:numId w:val="17"/>
        </w:numPr>
        <w:tabs>
          <w:tab w:val="clear" w:pos="567"/>
          <w:tab w:val="left" w:pos="993" w:leader="none"/>
        </w:tabs>
        <w:spacing w:lineRule="auto" w:line="276" w:before="0" w:after="0"/>
        <w:ind w:left="1843" w:hanging="567"/>
        <w:contextualSpacing w:val="false"/>
        <w:jc w:val="both"/>
        <w:outlineLvl w:val="1"/>
        <w:rPr>
          <w:rFonts w:ascii="Times New Roman" w:hAnsi="Times New Roman"/>
          <w:sz w:val="26"/>
        </w:rPr>
      </w:pPr>
      <w:r>
        <w:rPr>
          <w:rFonts w:ascii="Times New Roman" w:hAnsi="Times New Roman"/>
          <w:sz w:val="26"/>
        </w:rPr>
        <w:t>при допуске к участию в процедуре продажи нескольких Участников – Участник, предложивший наибольшую цену Имущества (цену договора);</w:t>
      </w:r>
    </w:p>
    <w:p>
      <w:pPr>
        <w:pStyle w:val="ListParagraph"/>
        <w:numPr>
          <w:ilvl w:val="0"/>
          <w:numId w:val="17"/>
        </w:numPr>
        <w:tabs>
          <w:tab w:val="clear" w:pos="567"/>
          <w:tab w:val="left" w:pos="993" w:leader="none"/>
        </w:tabs>
        <w:spacing w:lineRule="auto" w:line="276" w:before="0" w:after="0"/>
        <w:ind w:left="1843" w:hanging="567"/>
        <w:contextualSpacing w:val="false"/>
        <w:jc w:val="both"/>
        <w:outlineLvl w:val="1"/>
        <w:rPr>
          <w:rFonts w:ascii="Times New Roman" w:hAnsi="Times New Roman"/>
          <w:sz w:val="26"/>
        </w:rPr>
      </w:pPr>
      <w:r>
        <w:rPr>
          <w:rFonts w:ascii="Times New Roman" w:hAnsi="Times New Roman"/>
          <w:sz w:val="26"/>
        </w:rPr>
        <w:t>в случае если поданы равные предложения о цене Имущества (цене Договора) – Участник, Заявка которого была зарегистрирована ранее других.</w:t>
      </w:r>
    </w:p>
    <w:p>
      <w:pPr>
        <w:pStyle w:val="Style37"/>
        <w:numPr>
          <w:ilvl w:val="2"/>
          <w:numId w:val="4"/>
        </w:numPr>
        <w:tabs>
          <w:tab w:val="clear" w:pos="567"/>
          <w:tab w:val="left" w:pos="3828" w:leader="none"/>
        </w:tabs>
        <w:ind w:left="1134" w:hanging="1134"/>
        <w:rPr/>
      </w:pPr>
      <w:r>
        <w:rPr/>
        <w:t>Победитель считается надлежаще уведомленным о возникновении права заключения Договора, а также иных решениях Комиссии с момента размещения на ЭТП протокола, указанного в п. </w:t>
      </w:r>
      <w:r>
        <w:rPr/>
        <w:fldChar w:fldCharType="begin"/>
      </w:r>
      <w:r>
        <w:rPr/>
        <w:instrText xml:space="preserve"> REF _Ref524100091 \r \h </w:instrText>
      </w:r>
      <w:r>
        <w:rPr/>
        <w:fldChar w:fldCharType="separate"/>
      </w:r>
      <w:r>
        <w:rPr/>
        <w:t>5.9.11</w:t>
      </w:r>
      <w:r>
        <w:rPr/>
        <w:fldChar w:fldCharType="end"/>
      </w:r>
      <w:r>
        <w:rPr/>
        <w:t>.</w:t>
      </w:r>
    </w:p>
    <w:p>
      <w:pPr>
        <w:pStyle w:val="Style37"/>
        <w:numPr>
          <w:ilvl w:val="2"/>
          <w:numId w:val="4"/>
        </w:numPr>
        <w:tabs>
          <w:tab w:val="clear" w:pos="567"/>
          <w:tab w:val="left" w:pos="3828" w:leader="none"/>
        </w:tabs>
        <w:ind w:left="1134" w:hanging="1134"/>
        <w:rPr/>
      </w:pPr>
      <w:r>
        <w:rPr/>
        <w:t xml:space="preserve">При уклонении или отказе Победителя или его полномочного представителя от подписания Договора, Победитель утрачивает право на заключение Договора. При этом Организатор / Продавец имеет право заключить договор с Участником, Заявке которого присвоено второе место. </w:t>
      </w:r>
    </w:p>
    <w:p>
      <w:pPr>
        <w:pStyle w:val="Style37"/>
        <w:numPr>
          <w:ilvl w:val="2"/>
          <w:numId w:val="4"/>
        </w:numPr>
        <w:tabs>
          <w:tab w:val="clear" w:pos="567"/>
          <w:tab w:val="left" w:pos="3828" w:leader="none"/>
        </w:tabs>
        <w:ind w:left="1134" w:hanging="1134"/>
        <w:rPr/>
      </w:pPr>
      <w:r>
        <w:rPr/>
        <w:t>Если между официальным размещением протокола о результатах Процедуры 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pPr>
        <w:pStyle w:val="2"/>
        <w:numPr>
          <w:ilvl w:val="1"/>
          <w:numId w:val="4"/>
        </w:numPr>
        <w:ind w:left="1134" w:hanging="1134"/>
        <w:rPr>
          <w:sz w:val="26"/>
        </w:rPr>
      </w:pPr>
      <w:bookmarkStart w:id="373" w:name="_Toc69728973"/>
      <w:bookmarkStart w:id="374" w:name="_Toc57314659"/>
      <w:bookmarkStart w:id="375" w:name="_Toc55305388"/>
      <w:bookmarkStart w:id="376" w:name="_Toc55285356"/>
      <w:bookmarkStart w:id="377" w:name="_Ref55280474"/>
      <w:bookmarkStart w:id="378" w:name="_Toc536798418"/>
      <w:bookmarkStart w:id="379" w:name="_Ref514600896"/>
      <w:bookmarkStart w:id="380" w:name="_Toc197150411"/>
      <w:bookmarkStart w:id="381" w:name="_Toc197149942"/>
      <w:bookmarkEnd w:id="380"/>
      <w:bookmarkEnd w:id="381"/>
      <w:r>
        <w:rPr>
          <w:sz w:val="26"/>
        </w:rPr>
        <w:t>Признание Процедуры несостоявшейся</w:t>
      </w:r>
      <w:bookmarkEnd w:id="378"/>
      <w:bookmarkEnd w:id="379"/>
    </w:p>
    <w:p>
      <w:pPr>
        <w:pStyle w:val="Style37"/>
        <w:numPr>
          <w:ilvl w:val="2"/>
          <w:numId w:val="4"/>
        </w:numPr>
        <w:tabs>
          <w:tab w:val="clear" w:pos="567"/>
          <w:tab w:val="left" w:pos="3828" w:leader="none"/>
        </w:tabs>
        <w:ind w:left="1134" w:hanging="1134"/>
        <w:rPr>
          <w:color w:val="000000" w:themeColor="text1"/>
        </w:rPr>
      </w:pPr>
      <w:r>
        <w:rPr/>
        <w:t xml:space="preserve">Процедура </w:t>
      </w:r>
      <w:r>
        <w:rPr>
          <w:color w:val="000000" w:themeColor="text1"/>
        </w:rPr>
        <w:t>признается несостоявшейся в следующих случаях:</w:t>
      </w:r>
    </w:p>
    <w:p>
      <w:pPr>
        <w:pStyle w:val="Style39"/>
        <w:numPr>
          <w:ilvl w:val="4"/>
          <w:numId w:val="4"/>
        </w:numPr>
        <w:tabs>
          <w:tab w:val="clear" w:pos="567"/>
          <w:tab w:val="left" w:pos="1844" w:leader="none"/>
        </w:tabs>
        <w:ind w:left="1844" w:hanging="567"/>
        <w:rPr>
          <w:color w:val="000000" w:themeColor="text1"/>
        </w:rPr>
      </w:pPr>
      <w:r>
        <w:rPr>
          <w:color w:val="000000" w:themeColor="text1"/>
        </w:rPr>
        <w:t>не подано ни одной Заявки на участие в Процедуре или по результатам рассмотрения Заявок к участию в Процедуре не было допущено ни одно заинтересованное лицо;</w:t>
      </w:r>
    </w:p>
    <w:p>
      <w:pPr>
        <w:pStyle w:val="Style39"/>
        <w:numPr>
          <w:ilvl w:val="4"/>
          <w:numId w:val="4"/>
        </w:numPr>
        <w:tabs>
          <w:tab w:val="clear" w:pos="567"/>
          <w:tab w:val="left" w:pos="1844" w:leader="none"/>
        </w:tabs>
        <w:ind w:left="1844" w:hanging="567"/>
        <w:rPr/>
      </w:pPr>
      <w:r>
        <w:rPr/>
        <w:t>Победитель или его полномочный представитель уклонились / отказались от подписания протокола о результатах Процедуры / Договора.</w:t>
      </w:r>
    </w:p>
    <w:p>
      <w:pPr>
        <w:pStyle w:val="Style37"/>
        <w:numPr>
          <w:ilvl w:val="2"/>
          <w:numId w:val="4"/>
        </w:numPr>
        <w:tabs>
          <w:tab w:val="clear" w:pos="567"/>
          <w:tab w:val="left" w:pos="3828" w:leader="none"/>
        </w:tabs>
        <w:ind w:left="1134" w:hanging="1134"/>
        <w:rPr/>
      </w:pPr>
      <w:r>
        <w:rPr/>
        <w:t>Указанные обстоятельства в случае их наступления фиксируются в соответствующем протоколе.</w:t>
      </w:r>
    </w:p>
    <w:p>
      <w:pPr>
        <w:pStyle w:val="2"/>
        <w:numPr>
          <w:ilvl w:val="1"/>
          <w:numId w:val="4"/>
        </w:numPr>
        <w:ind w:left="1134" w:hanging="1134"/>
        <w:rPr>
          <w:sz w:val="26"/>
        </w:rPr>
      </w:pPr>
      <w:bookmarkStart w:id="382" w:name="_Toc536798419"/>
      <w:r>
        <w:rPr>
          <w:sz w:val="26"/>
        </w:rPr>
        <w:t xml:space="preserve">Отказ от проведения (отмена) </w:t>
      </w:r>
      <w:bookmarkEnd w:id="382"/>
      <w:r>
        <w:rPr>
          <w:sz w:val="26"/>
        </w:rPr>
        <w:t>Процедуры</w:t>
      </w:r>
    </w:p>
    <w:p>
      <w:pPr>
        <w:pStyle w:val="Style37"/>
        <w:numPr>
          <w:ilvl w:val="2"/>
          <w:numId w:val="4"/>
        </w:numPr>
        <w:tabs>
          <w:tab w:val="clear" w:pos="567"/>
          <w:tab w:val="left" w:pos="3828" w:leader="none"/>
        </w:tabs>
        <w:ind w:left="1134" w:hanging="1134"/>
        <w:rPr/>
      </w:pPr>
      <w:bookmarkStart w:id="383" w:name="_Ref56220027"/>
      <w:r>
        <w:rPr/>
        <w:t xml:space="preserve">Организатор / Продавец в любое время до заключения Договора имеет право отказаться от проведения Процедуры, не неся никакой ответственности перед Участниками или третьими лицами, которым такое действие может принести убытки. </w:t>
      </w:r>
    </w:p>
    <w:p>
      <w:pPr>
        <w:pStyle w:val="Style37"/>
        <w:numPr>
          <w:ilvl w:val="2"/>
          <w:numId w:val="4"/>
        </w:numPr>
        <w:tabs>
          <w:tab w:val="clear" w:pos="567"/>
          <w:tab w:val="left" w:pos="3828" w:leader="none"/>
        </w:tabs>
        <w:ind w:left="1134" w:hanging="1134"/>
        <w:rPr/>
      </w:pPr>
      <w:bookmarkStart w:id="384" w:name="_Ref56220027"/>
      <w:r>
        <w:rPr/>
        <w:t>Информирование Участников об отказе от Процедуры осуществляется в соответствии с Регламентом ЭТП</w:t>
      </w:r>
      <w:bookmarkEnd w:id="384"/>
      <w:r>
        <w:rPr/>
        <w:t>.</w:t>
      </w:r>
    </w:p>
    <w:p>
      <w:pPr>
        <w:pStyle w:val="1"/>
        <w:keepNext w:val="false"/>
        <w:keepLines w:val="false"/>
        <w:widowControl w:val="false"/>
        <w:numPr>
          <w:ilvl w:val="0"/>
          <w:numId w:val="4"/>
        </w:numPr>
        <w:suppressAutoHyphens w:val="false"/>
        <w:ind w:left="1134" w:hanging="1134"/>
        <w:jc w:val="center"/>
        <w:rPr>
          <w:sz w:val="28"/>
          <w:szCs w:val="28"/>
        </w:rPr>
      </w:pPr>
      <w:bookmarkStart w:id="385" w:name="_Toc69728973"/>
      <w:bookmarkStart w:id="386" w:name="_Toc57314659"/>
      <w:bookmarkStart w:id="387" w:name="_Toc55305388"/>
      <w:bookmarkStart w:id="388" w:name="_Toc55285356"/>
      <w:bookmarkStart w:id="389" w:name="_Ref55280474"/>
      <w:bookmarkStart w:id="390" w:name="_Toc536798420"/>
      <w:bookmarkStart w:id="391" w:name="_Ref418863007"/>
      <w:r>
        <w:rPr>
          <w:rFonts w:ascii="Times New Roman" w:hAnsi="Times New Roman"/>
          <w:sz w:val="28"/>
          <w:szCs w:val="28"/>
        </w:rPr>
        <w:t>ПОРЯДОК ЗАКЛЮЧЕНИЯ ДОГОВОРА</w:t>
      </w:r>
      <w:bookmarkEnd w:id="385"/>
      <w:bookmarkEnd w:id="386"/>
      <w:bookmarkEnd w:id="387"/>
      <w:bookmarkEnd w:id="388"/>
      <w:bookmarkEnd w:id="389"/>
      <w:bookmarkEnd w:id="390"/>
      <w:bookmarkEnd w:id="391"/>
    </w:p>
    <w:p>
      <w:pPr>
        <w:pStyle w:val="2"/>
        <w:keepNext w:val="false"/>
        <w:widowControl w:val="false"/>
        <w:numPr>
          <w:ilvl w:val="1"/>
          <w:numId w:val="4"/>
        </w:numPr>
        <w:suppressAutoHyphens w:val="false"/>
        <w:ind w:left="1134" w:hanging="1134"/>
        <w:rPr>
          <w:sz w:val="26"/>
        </w:rPr>
      </w:pPr>
      <w:bookmarkStart w:id="392" w:name="_Toc536798421"/>
      <w:r>
        <w:rPr>
          <w:sz w:val="26"/>
        </w:rPr>
        <w:t>Заключение Договора</w:t>
      </w:r>
      <w:bookmarkEnd w:id="392"/>
    </w:p>
    <w:p>
      <w:pPr>
        <w:pStyle w:val="Style37"/>
        <w:numPr>
          <w:ilvl w:val="2"/>
          <w:numId w:val="4"/>
        </w:numPr>
        <w:tabs>
          <w:tab w:val="clear" w:pos="567"/>
          <w:tab w:val="left" w:pos="3828" w:leader="none"/>
        </w:tabs>
        <w:ind w:left="1134" w:hanging="1134"/>
        <w:rPr/>
      </w:pPr>
      <w:bookmarkStart w:id="393" w:name="_Ref524002254"/>
      <w:bookmarkStart w:id="394" w:name="_Ref500429479"/>
      <w:bookmarkStart w:id="395" w:name="_Ref56222958"/>
      <w:r>
        <w:rPr/>
        <w:t xml:space="preserve">Договор купли-продажи между Продавцом и Победителем заключается </w:t>
      </w:r>
      <w:bookmarkEnd w:id="394"/>
      <w:bookmarkEnd w:id="395"/>
      <w:r>
        <w:rPr/>
        <w:t xml:space="preserve">в течение 20 (двадцати) рабочих дней со дня опубликования протокола о результатах Процедуры, оформляемого в соответствии с п. </w:t>
      </w:r>
      <w:r>
        <w:rPr/>
        <w:fldChar w:fldCharType="begin"/>
      </w:r>
      <w:r>
        <w:rPr/>
        <w:instrText xml:space="preserve"> REF _Ref536792386 \r \h </w:instrText>
      </w:r>
      <w:r>
        <w:rPr/>
        <w:fldChar w:fldCharType="separate"/>
      </w:r>
      <w:r>
        <w:rPr/>
        <w:t>5.9.10</w:t>
      </w:r>
      <w:r>
        <w:rPr/>
        <w:fldChar w:fldCharType="end"/>
      </w:r>
      <w:r>
        <w:rPr/>
        <w:t>.</w:t>
      </w:r>
      <w:bookmarkEnd w:id="393"/>
    </w:p>
    <w:p>
      <w:pPr>
        <w:pStyle w:val="Style37"/>
        <w:numPr>
          <w:ilvl w:val="2"/>
          <w:numId w:val="4"/>
        </w:numPr>
        <w:tabs>
          <w:tab w:val="clear" w:pos="567"/>
          <w:tab w:val="left" w:pos="3828"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заключается не позднее чем через 5 (пять) календарных дней с даты получения указанного одобрения.</w:t>
      </w:r>
    </w:p>
    <w:p>
      <w:pPr>
        <w:pStyle w:val="Style37"/>
        <w:numPr>
          <w:ilvl w:val="2"/>
          <w:numId w:val="4"/>
        </w:numPr>
        <w:tabs>
          <w:tab w:val="clear" w:pos="567"/>
          <w:tab w:val="left" w:pos="3828" w:leader="none"/>
        </w:tabs>
        <w:ind w:left="1134" w:hanging="1134"/>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проект Договора может быть направлен Организатором / Продавцом для подписания Победителю на указанный им в Заявке (подраздел </w:t>
      </w:r>
      <w:r>
        <w:rPr/>
        <w:fldChar w:fldCharType="begin"/>
      </w:r>
      <w:r>
        <w:rPr/>
        <w:instrText xml:space="preserve"> REF _Ref55336310 \r \h </w:instrText>
      </w:r>
      <w:r>
        <w:rPr/>
        <w:fldChar w:fldCharType="separate"/>
      </w:r>
      <w:r>
        <w:rPr/>
        <w:t>8.2</w:t>
      </w:r>
      <w:r>
        <w:rPr/>
        <w:fldChar w:fldCharType="end"/>
      </w:r>
      <w:r>
        <w:rPr/>
        <w:t>) адрес электронной почты.</w:t>
      </w:r>
    </w:p>
    <w:p>
      <w:pPr>
        <w:pStyle w:val="Style37"/>
        <w:numPr>
          <w:ilvl w:val="2"/>
          <w:numId w:val="4"/>
        </w:numPr>
        <w:tabs>
          <w:tab w:val="clear" w:pos="567"/>
          <w:tab w:val="left" w:pos="3828" w:leader="none"/>
        </w:tabs>
        <w:ind w:left="1134" w:hanging="1134"/>
        <w:rPr/>
      </w:pPr>
      <w:r>
        <w:rPr/>
        <w:t>При заключении Договора с Победителем внесение изменений в проект Договора, входящего в состав Документации, в части предмета договора, сроков и порядка оплаты приобретаемого Предмета продажи не допускается.</w:t>
      </w:r>
    </w:p>
    <w:p>
      <w:pPr>
        <w:pStyle w:val="Style37"/>
        <w:numPr>
          <w:ilvl w:val="2"/>
          <w:numId w:val="4"/>
        </w:numPr>
        <w:tabs>
          <w:tab w:val="clear" w:pos="567"/>
          <w:tab w:val="left" w:pos="3828" w:leader="none"/>
        </w:tabs>
        <w:ind w:left="1134" w:hanging="1134"/>
        <w:rPr/>
      </w:pPr>
      <w:r>
        <w:rPr/>
        <w:t>Оплата цены Предмета продажи, передача от Продавца к покупателю Предмета продажи, осуществление действий по государственной регистрации перехода права собственности от Продавца к покупателю на недвижимое имущество, входящее в Предмет продажи, происходит в порядке, установленном Договором.</w:t>
      </w:r>
    </w:p>
    <w:p>
      <w:pPr>
        <w:pStyle w:val="2"/>
        <w:numPr>
          <w:ilvl w:val="1"/>
          <w:numId w:val="4"/>
        </w:numPr>
        <w:ind w:left="1134" w:hanging="1134"/>
        <w:rPr>
          <w:sz w:val="26"/>
        </w:rPr>
      </w:pPr>
      <w:bookmarkStart w:id="396" w:name="_Toc536798422"/>
      <w:r>
        <w:rPr>
          <w:sz w:val="26"/>
        </w:rPr>
        <w:t>Уклонение Победителя от заключения Договора</w:t>
      </w:r>
      <w:bookmarkEnd w:id="396"/>
    </w:p>
    <w:p>
      <w:pPr>
        <w:pStyle w:val="Style37"/>
        <w:numPr>
          <w:ilvl w:val="2"/>
          <w:numId w:val="4"/>
        </w:numPr>
        <w:tabs>
          <w:tab w:val="clear" w:pos="567"/>
          <w:tab w:val="left" w:pos="3828" w:leader="none"/>
        </w:tabs>
        <w:ind w:left="1134" w:hanging="1134"/>
        <w:rPr/>
      </w:pPr>
      <w:r>
        <w:rPr/>
        <w:t>В случае если Победитель:</w:t>
      </w:r>
    </w:p>
    <w:p>
      <w:pPr>
        <w:pStyle w:val="Style39"/>
        <w:numPr>
          <w:ilvl w:val="4"/>
          <w:numId w:val="4"/>
        </w:numPr>
        <w:tabs>
          <w:tab w:val="clear" w:pos="567"/>
          <w:tab w:val="left" w:pos="1844" w:leader="none"/>
        </w:tabs>
        <w:ind w:left="1844" w:hanging="567"/>
        <w:rPr/>
      </w:pPr>
      <w:r>
        <w:rPr/>
        <w:t xml:space="preserve">не подпишет Договор в установленные Документацией сроки (пункт </w:t>
      </w:r>
      <w:r>
        <w:rPr/>
        <w:fldChar w:fldCharType="begin"/>
      </w:r>
      <w:r>
        <w:rPr/>
        <w:instrText xml:space="preserve"> REF _Ref500429479 \r \h </w:instrText>
      </w:r>
      <w:r>
        <w:rPr/>
        <w:fldChar w:fldCharType="separate"/>
      </w:r>
      <w:r>
        <w:rPr/>
        <w:t>6.1.1</w:t>
      </w:r>
      <w:r>
        <w:rPr/>
        <w:fldChar w:fldCharType="end"/>
      </w:r>
      <w:r>
        <w:rPr/>
        <w:t>);</w:t>
      </w:r>
    </w:p>
    <w:p>
      <w:pPr>
        <w:pStyle w:val="Style39"/>
        <w:numPr>
          <w:ilvl w:val="4"/>
          <w:numId w:val="4"/>
        </w:numPr>
        <w:tabs>
          <w:tab w:val="clear" w:pos="567"/>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Процедуры;</w:t>
      </w:r>
    </w:p>
    <w:p>
      <w:pPr>
        <w:pStyle w:val="Style39"/>
        <w:numPr>
          <w:ilvl w:val="4"/>
          <w:numId w:val="4"/>
        </w:numPr>
        <w:tabs>
          <w:tab w:val="clear" w:pos="567"/>
          <w:tab w:val="left" w:pos="1844" w:leader="none"/>
        </w:tabs>
        <w:ind w:left="1844" w:hanging="567"/>
        <w:rPr/>
      </w:pPr>
      <w:r>
        <w:rPr/>
        <w:t>откажется от подписания Договора на условиях Процедуры;</w:t>
      </w:r>
    </w:p>
    <w:p>
      <w:pPr>
        <w:pStyle w:val="Style39"/>
        <w:numPr>
          <w:ilvl w:val="4"/>
          <w:numId w:val="4"/>
        </w:numPr>
        <w:tabs>
          <w:tab w:val="clear" w:pos="567"/>
          <w:tab w:val="left" w:pos="1844" w:leader="none"/>
        </w:tabs>
        <w:ind w:left="1844" w:hanging="567"/>
        <w:rPr/>
      </w:pPr>
      <w:r>
        <w:rPr/>
        <w:t>не выполнит другие условия, прямо предусмотренные Документацией,</w:t>
      </w:r>
    </w:p>
    <w:p>
      <w:pPr>
        <w:pStyle w:val="Normal"/>
        <w:ind w:left="1134" w:hanging="0"/>
        <w:rPr/>
      </w:pPr>
      <w:r>
        <w:rPr/>
        <w:t>то он признается уклонившимся от заключения Договора и утрачивает статус Победителя, а Продавец вправе заключить договор с Участником, Заявке которого присвоено второе место.</w:t>
      </w:r>
    </w:p>
    <w:p>
      <w:pPr>
        <w:pStyle w:val="Style37"/>
        <w:numPr>
          <w:ilvl w:val="2"/>
          <w:numId w:val="4"/>
        </w:numPr>
        <w:tabs>
          <w:tab w:val="clear" w:pos="567"/>
          <w:tab w:val="left" w:pos="3828" w:leader="none"/>
        </w:tabs>
        <w:ind w:left="1134" w:hanging="1134"/>
        <w:rPr/>
      </w:pPr>
      <w:r>
        <w:rPr/>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pPr>
        <w:pStyle w:val="Style37"/>
        <w:numPr>
          <w:ilvl w:val="2"/>
          <w:numId w:val="4"/>
        </w:numPr>
        <w:tabs>
          <w:tab w:val="clear" w:pos="567"/>
          <w:tab w:val="left" w:pos="3828" w:leader="none"/>
        </w:tabs>
        <w:ind w:left="1134" w:hanging="1134"/>
        <w:rPr/>
      </w:pPr>
      <w:r>
        <w:rPr/>
        <w:t xml:space="preserve">Организатор в течение 3 (трех) рабочих дней с даты подписания Комиссией протокола об уклонении от заключения Договора передает Участнику, заявке которого присвоено второе место, один экземпляр указанного протокола, Протокола о результатах Процедуры и проект Договора. Проект Договора подписывается в сроки, установленные п. </w:t>
      </w:r>
      <w:r>
        <w:rPr/>
        <w:fldChar w:fldCharType="begin"/>
      </w:r>
      <w:r>
        <w:rPr/>
        <w:instrText xml:space="preserve"> REF _Ref524002254 \r \h </w:instrText>
      </w:r>
      <w:r>
        <w:rPr/>
        <w:fldChar w:fldCharType="separate"/>
      </w:r>
      <w:r>
        <w:rPr/>
        <w:t>6.1.1</w:t>
      </w:r>
      <w:r>
        <w:rPr/>
        <w:fldChar w:fldCharType="end"/>
      </w:r>
      <w:r>
        <w:rPr/>
        <w:t>.</w:t>
      </w:r>
    </w:p>
    <w:p>
      <w:pPr>
        <w:pStyle w:val="1"/>
        <w:numPr>
          <w:ilvl w:val="0"/>
          <w:numId w:val="4"/>
        </w:numPr>
        <w:ind w:left="1134" w:hanging="1134"/>
        <w:jc w:val="center"/>
        <w:rPr>
          <w:rFonts w:ascii="Times New Roman" w:hAnsi="Times New Roman"/>
          <w:sz w:val="28"/>
          <w:szCs w:val="28"/>
        </w:rPr>
      </w:pPr>
      <w:bookmarkStart w:id="397" w:name="ДОПОЛНИТЕЛЬНЫЕ_ИНСТРУКЦИИ"/>
      <w:bookmarkStart w:id="398" w:name="_Toc536798423"/>
      <w:bookmarkStart w:id="399" w:name="_Ref514448879"/>
      <w:bookmarkStart w:id="400" w:name="_Toc69728975"/>
      <w:bookmarkStart w:id="401" w:name="_Toc57314661"/>
      <w:bookmarkStart w:id="402" w:name="_Ref56225121"/>
      <w:bookmarkStart w:id="403" w:name="_Ref56225120"/>
      <w:bookmarkEnd w:id="397"/>
      <w:r>
        <w:rPr>
          <w:rFonts w:ascii="Times New Roman" w:hAnsi="Times New Roman"/>
          <w:sz w:val="28"/>
          <w:szCs w:val="28"/>
        </w:rPr>
        <w:t xml:space="preserve">ПОРЯДОК ПРИМЕНЕНИЯ ДОПОЛНИТЕЛЬНЫХ ЭЛЕМЕНТОВ </w:t>
      </w:r>
      <w:bookmarkEnd w:id="398"/>
      <w:bookmarkEnd w:id="399"/>
      <w:bookmarkEnd w:id="400"/>
      <w:bookmarkEnd w:id="401"/>
      <w:bookmarkEnd w:id="402"/>
      <w:bookmarkEnd w:id="403"/>
      <w:r>
        <w:rPr>
          <w:rFonts w:ascii="Times New Roman" w:hAnsi="Times New Roman"/>
          <w:sz w:val="28"/>
          <w:szCs w:val="28"/>
        </w:rPr>
        <w:t>ПРОЦЕДУРЫ</w:t>
      </w:r>
    </w:p>
    <w:p>
      <w:pPr>
        <w:pStyle w:val="2"/>
        <w:numPr>
          <w:ilvl w:val="1"/>
          <w:numId w:val="4"/>
        </w:numPr>
        <w:ind w:left="1134" w:hanging="1134"/>
        <w:rPr>
          <w:sz w:val="26"/>
        </w:rPr>
      </w:pPr>
      <w:bookmarkStart w:id="404" w:name="ДОПОЛНИТЕЛЬНЫЕ_ИНСТРУКЦИИ"/>
      <w:bookmarkStart w:id="405" w:name="_Toc536798424"/>
      <w:bookmarkStart w:id="406" w:name="_Toc69728976"/>
      <w:bookmarkStart w:id="407" w:name="_Toc57314662"/>
      <w:bookmarkEnd w:id="404"/>
      <w:r>
        <w:rPr>
          <w:sz w:val="26"/>
        </w:rPr>
        <w:t>Статус настоящего раздела</w:t>
      </w:r>
      <w:bookmarkEnd w:id="405"/>
      <w:bookmarkEnd w:id="406"/>
      <w:bookmarkEnd w:id="407"/>
    </w:p>
    <w:p>
      <w:pPr>
        <w:pStyle w:val="Style37"/>
        <w:numPr>
          <w:ilvl w:val="2"/>
          <w:numId w:val="4"/>
        </w:numPr>
        <w:tabs>
          <w:tab w:val="clear" w:pos="567"/>
          <w:tab w:val="left" w:pos="1418" w:leader="none"/>
        </w:tabs>
        <w:ind w:left="1418" w:hanging="1418"/>
        <w:rPr/>
      </w:pPr>
      <w:r>
        <w:rPr/>
        <w:t xml:space="preserve">Настоящий подраздел дополняет условия проведения Процедуры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37"/>
        <w:numPr>
          <w:ilvl w:val="2"/>
          <w:numId w:val="4"/>
        </w:numPr>
        <w:tabs>
          <w:tab w:val="clear" w:pos="567"/>
          <w:tab w:val="left" w:pos="1418" w:leader="none"/>
        </w:tabs>
        <w:ind w:left="1418" w:hanging="1418"/>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2"/>
        <w:numPr>
          <w:ilvl w:val="1"/>
          <w:numId w:val="4"/>
        </w:numPr>
        <w:ind w:left="1134" w:hanging="1134"/>
        <w:rPr>
          <w:sz w:val="26"/>
        </w:rPr>
      </w:pPr>
      <w:bookmarkStart w:id="408" w:name="_Toc69728984"/>
      <w:bookmarkStart w:id="409" w:name="_Toc57314670"/>
      <w:bookmarkStart w:id="410" w:name="_Ref56251910"/>
      <w:bookmarkStart w:id="411" w:name="_Toc536798425"/>
      <w:bookmarkEnd w:id="408"/>
      <w:bookmarkEnd w:id="409"/>
      <w:bookmarkEnd w:id="410"/>
      <w:r>
        <w:rPr>
          <w:sz w:val="26"/>
        </w:rPr>
        <w:t>Многолотовая продажа</w:t>
      </w:r>
      <w:bookmarkEnd w:id="411"/>
    </w:p>
    <w:p>
      <w:pPr>
        <w:pStyle w:val="Style37"/>
        <w:numPr>
          <w:ilvl w:val="2"/>
          <w:numId w:val="4"/>
        </w:numPr>
        <w:tabs>
          <w:tab w:val="clear" w:pos="567"/>
          <w:tab w:val="left" w:pos="1134" w:leader="none"/>
        </w:tabs>
        <w:ind w:left="1134" w:hanging="1134"/>
        <w:rPr/>
      </w:pPr>
      <w:bookmarkStart w:id="412" w:name="_Ref197148729"/>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37"/>
        <w:numPr>
          <w:ilvl w:val="2"/>
          <w:numId w:val="4"/>
        </w:numPr>
        <w:tabs>
          <w:tab w:val="clear" w:pos="567"/>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37"/>
        <w:numPr>
          <w:ilvl w:val="2"/>
          <w:numId w:val="4"/>
        </w:numPr>
        <w:tabs>
          <w:tab w:val="clear" w:pos="567"/>
          <w:tab w:val="left" w:pos="1134" w:leader="none"/>
        </w:tabs>
        <w:ind w:left="1134" w:hanging="1134"/>
        <w:rPr/>
      </w:pPr>
      <w:bookmarkStart w:id="413" w:name="_Ref197148729"/>
      <w:r>
        <w:rPr/>
        <w:t>Заявитель / Участник может подать Заявку на любой лот, любые несколько лотов или все лоты по собственному выбору. При этом не допускается разбиение отдельного лота на части, то есть подача Заявки на часть лота по отдельным видам или объемам Предмета продажи.</w:t>
      </w:r>
      <w:bookmarkEnd w:id="413"/>
    </w:p>
    <w:p>
      <w:pPr>
        <w:pStyle w:val="Style37"/>
        <w:numPr>
          <w:ilvl w:val="2"/>
          <w:numId w:val="4"/>
        </w:numPr>
        <w:tabs>
          <w:tab w:val="clear" w:pos="567"/>
          <w:tab w:val="left" w:pos="1134" w:leader="none"/>
        </w:tabs>
        <w:ind w:left="1134" w:hanging="1134"/>
        <w:rPr/>
      </w:pPr>
      <w:r>
        <w:rPr/>
        <w:t xml:space="preserve">В случае подачи Заявки на несколько лотов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Заявка должна содержать указание номера и название каждого лота, в качестве цены предложения указывается сумма по каждому лоту.</w:t>
      </w:r>
    </w:p>
    <w:p>
      <w:pPr>
        <w:pStyle w:val="Style37"/>
        <w:numPr>
          <w:ilvl w:val="2"/>
          <w:numId w:val="4"/>
        </w:numPr>
        <w:tabs>
          <w:tab w:val="clear" w:pos="567"/>
          <w:tab w:val="left" w:pos="1134" w:leader="none"/>
        </w:tabs>
        <w:ind w:left="1134" w:hanging="1134"/>
        <w:rPr/>
      </w:pPr>
      <w:bookmarkStart w:id="414" w:name="_Ref197148723"/>
      <w:bookmarkEnd w:id="414"/>
      <w:r>
        <w:rPr/>
        <w:t>Решения, принимаемые в ходе Процедуры, в том числе рассмотрение Заявок, определение Победителя, признание Процедуры несостоявшейся, отказ от дальнейшего ее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pPr>
        <w:pStyle w:val="1"/>
        <w:numPr>
          <w:ilvl w:val="0"/>
          <w:numId w:val="4"/>
        </w:numPr>
        <w:ind w:left="1134" w:hanging="1134"/>
        <w:jc w:val="center"/>
        <w:rPr>
          <w:rFonts w:ascii="Times New Roman" w:hAnsi="Times New Roman"/>
          <w:sz w:val="28"/>
          <w:szCs w:val="28"/>
        </w:rPr>
      </w:pPr>
      <w:bookmarkStart w:id="415" w:name="_Toc69728984"/>
      <w:bookmarkStart w:id="416" w:name="_Toc57314670"/>
      <w:bookmarkStart w:id="417" w:name="_Ref56251910"/>
      <w:bookmarkStart w:id="418" w:name="_Ref197148723"/>
      <w:bookmarkStart w:id="419" w:name="ФОРМЫ"/>
      <w:bookmarkStart w:id="420" w:name="_Toc536798426"/>
      <w:bookmarkStart w:id="421" w:name="_Ref384631716"/>
      <w:bookmarkStart w:id="422" w:name="_Toc69728985"/>
      <w:bookmarkStart w:id="423" w:name="_Toc57314671"/>
      <w:bookmarkStart w:id="424" w:name="_Toc55305390"/>
      <w:bookmarkStart w:id="425" w:name="_Toc55285361"/>
      <w:bookmarkStart w:id="426" w:name="_Ref55280368"/>
      <w:bookmarkStart w:id="427" w:name="_Toc516980556"/>
      <w:bookmarkStart w:id="428" w:name="_Toc516961495"/>
      <w:bookmarkStart w:id="429" w:name="_Toc516961349"/>
      <w:bookmarkStart w:id="430" w:name="_Toc516980555"/>
      <w:bookmarkStart w:id="431" w:name="_Toc516961494"/>
      <w:bookmarkStart w:id="432" w:name="_Toc516961348"/>
      <w:bookmarkStart w:id="433" w:name="_Toc516980554"/>
      <w:bookmarkStart w:id="434" w:name="_Toc516961493"/>
      <w:bookmarkStart w:id="435" w:name="_Toc516961347"/>
      <w:bookmarkStart w:id="436" w:name="_Toc516980553"/>
      <w:bookmarkStart w:id="437" w:name="_Toc516961492"/>
      <w:bookmarkStart w:id="438" w:name="_Toc516961346"/>
      <w:bookmarkStart w:id="439" w:name="_Toc516980552"/>
      <w:bookmarkStart w:id="440" w:name="_Toc516961491"/>
      <w:bookmarkStart w:id="441" w:name="_Toc516961345"/>
      <w:bookmarkStart w:id="442" w:name="_Toc516980551"/>
      <w:bookmarkStart w:id="443" w:name="_Toc516961490"/>
      <w:bookmarkStart w:id="444" w:name="_Toc516961344"/>
      <w:bookmarkEnd w:id="415"/>
      <w:bookmarkEnd w:id="416"/>
      <w:bookmarkEnd w:id="417"/>
      <w:bookmarkEnd w:id="418"/>
      <w:bookmarkEnd w:id="419"/>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Pr>
          <w:rFonts w:ascii="Times New Roman" w:hAnsi="Times New Roman"/>
          <w:sz w:val="28"/>
          <w:szCs w:val="28"/>
        </w:rPr>
        <w:t>ОБРАЗЦЫ ОСНОВНЫХ ФОРМ ДОКУМЕНТОВ, ВКЛЮЧАЕМЫХ В ЗАЯВКУ</w:t>
      </w:r>
      <w:bookmarkEnd w:id="420"/>
      <w:bookmarkEnd w:id="421"/>
      <w:bookmarkEnd w:id="422"/>
      <w:bookmarkEnd w:id="423"/>
      <w:bookmarkEnd w:id="424"/>
      <w:bookmarkEnd w:id="425"/>
      <w:bookmarkEnd w:id="426"/>
    </w:p>
    <w:p>
      <w:pPr>
        <w:pStyle w:val="2"/>
        <w:numPr>
          <w:ilvl w:val="1"/>
          <w:numId w:val="4"/>
        </w:numPr>
        <w:ind w:left="1134" w:hanging="1134"/>
        <w:rPr>
          <w:sz w:val="28"/>
        </w:rPr>
      </w:pPr>
      <w:bookmarkStart w:id="445" w:name="_Toc536798427"/>
      <w:bookmarkStart w:id="446" w:name="_Toc418077920"/>
      <w:bookmarkStart w:id="447"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445"/>
      <w:bookmarkEnd w:id="446"/>
      <w:bookmarkEnd w:id="447"/>
    </w:p>
    <w:p>
      <w:pPr>
        <w:pStyle w:val="Style37"/>
        <w:numPr>
          <w:ilvl w:val="2"/>
          <w:numId w:val="4"/>
        </w:numPr>
        <w:tabs>
          <w:tab w:val="clear" w:pos="567"/>
          <w:tab w:val="left" w:pos="1134" w:leader="none"/>
        </w:tabs>
        <w:ind w:left="1418" w:hanging="1418"/>
        <w:rPr>
          <w:b/>
          <w:b/>
        </w:rPr>
      </w:pPr>
      <w:bookmarkStart w:id="448" w:name="_Toc418077921"/>
      <w:r>
        <w:rPr>
          <w:b/>
        </w:rPr>
        <w:t>Форма описи документов</w:t>
      </w:r>
      <w:bookmarkEnd w:id="448"/>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suppressAutoHyphens w:val="true"/>
        <w:jc w:val="center"/>
        <w:rPr>
          <w:b/>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0"/>
        <w:rPr/>
      </w:pPr>
      <w:r>
        <w:rPr/>
        <w:t>находящийся / зарегистрированный по адресу:</w:t>
      </w:r>
    </w:p>
    <w:p>
      <w:pPr>
        <w:pStyle w:val="Normal"/>
        <w:rPr/>
      </w:pPr>
      <w:r>
        <w:rPr/>
        <w:t>________________________________________________________________________,</w:t>
      </w:r>
    </w:p>
    <w:p>
      <w:pPr>
        <w:pStyle w:val="Normal"/>
        <w:jc w:val="center"/>
        <w:rPr>
          <w:vertAlign w:val="superscript"/>
        </w:rPr>
      </w:pPr>
      <w:r>
        <w:rPr>
          <w:vertAlign w:val="superscript"/>
        </w:rPr>
        <w:t>(место нахождения / место регистрации Заявителя)</w:t>
      </w:r>
    </w:p>
    <w:p>
      <w:pPr>
        <w:pStyle w:val="Normal"/>
        <w:spacing w:before="0" w:after="0"/>
        <w:rPr/>
      </w:pPr>
      <w:r>
        <w:rPr/>
        <w:t>представляет для участия в Процедуре на право заключения договора купли-продажи имущества Публичного акционерного общества «Федеральная гидрогенерирующая компания - РусГидро» (ПАО «РусГидро»):</w:t>
      </w:r>
    </w:p>
    <w:p>
      <w:pPr>
        <w:pStyle w:val="Normal"/>
        <w:spacing w:before="0" w:after="0"/>
        <w:rPr/>
      </w:pPr>
      <w:r>
        <w:rPr/>
        <w:t>______________________________________________________________________________</w:t>
      </w:r>
    </w:p>
    <w:p>
      <w:pPr>
        <w:pStyle w:val="Normal"/>
        <w:spacing w:before="0" w:after="0"/>
        <w:jc w:val="center"/>
        <w:rPr/>
      </w:pPr>
      <w:r>
        <w:rPr>
          <w:vertAlign w:val="superscript"/>
        </w:rPr>
        <w:t>(предмет договора в соответствии с Документацией)</w:t>
      </w:r>
    </w:p>
    <w:p>
      <w:pPr>
        <w:pStyle w:val="Normal"/>
        <w:spacing w:before="0" w:after="0"/>
        <w:rPr/>
      </w:pPr>
      <w:r>
        <w:rPr/>
        <w:t>нижеперечисленные документы:</w:t>
      </w:r>
    </w:p>
    <w:p>
      <w:pPr>
        <w:pStyle w:val="Normal"/>
        <w:widowControl w:val="false"/>
        <w:ind w:right="-2" w:hanging="0"/>
        <w:rPr/>
      </w:pPr>
      <w:r>
        <w:rPr/>
      </w:r>
    </w:p>
    <w:tbl>
      <w:tblPr>
        <w:tblW w:w="10206"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993"/>
        <w:gridCol w:w="5811"/>
        <w:gridCol w:w="1700"/>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581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700"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2</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Normal"/>
        <w:tabs>
          <w:tab w:val="clear" w:pos="567"/>
          <w:tab w:val="left" w:pos="993" w:leader="none"/>
        </w:tabs>
        <w:ind w:left="567" w:hanging="0"/>
        <w:rPr/>
      </w:pPr>
      <w:r>
        <w:rPr/>
      </w:r>
    </w:p>
    <w:p>
      <w:pPr>
        <w:pStyle w:val="Normal"/>
        <w:rPr/>
      </w:pPr>
      <w:r>
        <w:rPr/>
        <w:t>____________________________________</w:t>
      </w:r>
    </w:p>
    <w:p>
      <w:pPr>
        <w:pStyle w:val="Normal"/>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3684"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37"/>
        <w:widowControl w:val="false"/>
        <w:numPr>
          <w:ilvl w:val="2"/>
          <w:numId w:val="4"/>
        </w:numPr>
        <w:tabs>
          <w:tab w:val="clear" w:pos="567"/>
          <w:tab w:val="left" w:pos="1134" w:leader="none"/>
        </w:tabs>
        <w:ind w:left="1418" w:hanging="1418"/>
        <w:rPr>
          <w:b/>
          <w:b/>
        </w:rPr>
      </w:pPr>
      <w:bookmarkStart w:id="449" w:name="_Toc418077922"/>
      <w:r>
        <w:rPr>
          <w:b/>
        </w:rPr>
        <w:t>Инструкции по заполнению</w:t>
      </w:r>
      <w:bookmarkEnd w:id="449"/>
      <w:r>
        <w:rPr>
          <w:b/>
        </w:rPr>
        <w:t xml:space="preserve"> формы описи</w:t>
      </w:r>
    </w:p>
    <w:p>
      <w:pPr>
        <w:pStyle w:val="Style38"/>
        <w:numPr>
          <w:ilvl w:val="3"/>
          <w:numId w:val="4"/>
        </w:numPr>
        <w:rPr/>
      </w:pPr>
      <w:r>
        <w:rPr/>
        <w:t xml:space="preserve">Опись следует оформить на официальном бланке Заявителя / Участника, если применимо. </w:t>
      </w:r>
    </w:p>
    <w:p>
      <w:pPr>
        <w:pStyle w:val="Style38"/>
        <w:numPr>
          <w:ilvl w:val="3"/>
          <w:numId w:val="4"/>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место регистрации.</w:t>
      </w:r>
    </w:p>
    <w:p>
      <w:pPr>
        <w:pStyle w:val="Style38"/>
        <w:numPr>
          <w:ilvl w:val="3"/>
          <w:numId w:val="4"/>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предоставляемому документу, с целью идентификации</w:t>
      </w:r>
      <w:r>
        <w:br w:type="page"/>
      </w:r>
    </w:p>
    <w:p>
      <w:pPr>
        <w:pStyle w:val="2"/>
        <w:keepNext w:val="false"/>
        <w:widowControl w:val="false"/>
        <w:numPr>
          <w:ilvl w:val="1"/>
          <w:numId w:val="4"/>
        </w:numPr>
        <w:ind w:left="1134" w:hanging="1134"/>
        <w:rPr>
          <w:sz w:val="28"/>
        </w:rPr>
      </w:pPr>
      <w:bookmarkStart w:id="450" w:name="ФОРМЫ"/>
      <w:bookmarkStart w:id="451" w:name="_Toc536798428"/>
      <w:bookmarkStart w:id="452" w:name="_Toc69728986"/>
      <w:bookmarkStart w:id="453" w:name="_Toc57314672"/>
      <w:bookmarkStart w:id="454" w:name="_Ref55336310"/>
      <w:bookmarkEnd w:id="450"/>
      <w:r>
        <w:rPr>
          <w:sz w:val="28"/>
        </w:rPr>
        <w:t xml:space="preserve">Заявка на участие в Процедуре </w:t>
      </w:r>
      <w:bookmarkStart w:id="455" w:name="_Ref22846535"/>
      <w:r>
        <w:rPr>
          <w:sz w:val="28"/>
        </w:rPr>
        <w:t>(</w:t>
      </w:r>
      <w:bookmarkEnd w:id="455"/>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51"/>
      <w:bookmarkEnd w:id="452"/>
      <w:bookmarkEnd w:id="453"/>
      <w:bookmarkEnd w:id="454"/>
    </w:p>
    <w:p>
      <w:pPr>
        <w:pStyle w:val="Style37"/>
        <w:numPr>
          <w:ilvl w:val="2"/>
          <w:numId w:val="4"/>
        </w:numPr>
        <w:tabs>
          <w:tab w:val="clear" w:pos="567"/>
          <w:tab w:val="left" w:pos="1134" w:leader="none"/>
        </w:tabs>
        <w:ind w:left="1418" w:hanging="1418"/>
        <w:rPr>
          <w:b/>
          <w:b/>
        </w:rPr>
      </w:pPr>
      <w:r>
        <w:rPr>
          <w:b/>
        </w:rPr>
        <w:t>Форма заявки на участие в Процедуре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_______________ года</w:t>
      </w:r>
    </w:p>
    <w:p>
      <w:pPr>
        <w:pStyle w:val="Normal"/>
        <w:ind w:right="5243" w:hanging="0"/>
        <w:rPr/>
      </w:pPr>
      <w:r>
        <w:rPr/>
        <w:t>№</w:t>
      </w:r>
      <w:r>
        <w:rPr/>
        <w:t>________________________</w:t>
      </w:r>
    </w:p>
    <w:p>
      <w:pPr>
        <w:pStyle w:val="Normal"/>
        <w:ind w:right="5243" w:hanging="0"/>
        <w:rPr/>
      </w:pPr>
      <w:r>
        <w:rPr/>
      </w:r>
    </w:p>
    <w:p>
      <w:pPr>
        <w:pStyle w:val="Normal"/>
        <w:suppressAutoHyphens w:val="true"/>
        <w:jc w:val="center"/>
        <w:rPr>
          <w:b/>
          <w:b/>
          <w:caps/>
          <w:spacing w:val="20"/>
          <w:sz w:val="28"/>
        </w:rPr>
      </w:pPr>
      <w:r>
        <w:rPr>
          <w:b/>
          <w:caps/>
          <w:spacing w:val="20"/>
          <w:sz w:val="28"/>
        </w:rPr>
        <w:t>заявка на участие в ПРОЦУДУРЕ ПРОДАЖИ БЕЗ ОБЪЯВЛЕНИЯ ЦЕНЫ</w:t>
      </w:r>
    </w:p>
    <w:p>
      <w:pPr>
        <w:pStyle w:val="Normal"/>
        <w:ind w:firstLine="567"/>
        <w:rPr>
          <w:i/>
          <w:i/>
        </w:rPr>
      </w:pPr>
      <w:r>
        <w:rPr>
          <w:i/>
        </w:rPr>
      </w:r>
    </w:p>
    <w:p>
      <w:pPr>
        <w:pStyle w:val="Normal"/>
        <w:ind w:firstLine="567"/>
        <w:rPr/>
      </w:pPr>
      <w:r>
        <w:rPr/>
        <w:t>Изучив Извещение о проведении Процедуры продажи без объявления цены на право заключения договора купли-продажи имущества Публичного акционерного общества «Федеральная гидрогенерирующая компания - РусГидро» (ПАО «РусГидро»)и Документацию (включая все изменения и разъяснения к ним), и безоговорочно принимая установленные в них требования и условия проведения продажи без объявления цены, настоящим Заявитель:</w:t>
      </w:r>
    </w:p>
    <w:p>
      <w:pPr>
        <w:pStyle w:val="Normal"/>
        <w:rPr/>
      </w:pPr>
      <w:r>
        <w:rPr/>
        <w:t>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spacing w:before="0" w:after="0"/>
        <w:rPr>
          <w:sz w:val="24"/>
          <w:szCs w:val="24"/>
        </w:rPr>
      </w:pPr>
      <w:r>
        <w:rPr/>
        <w:t xml:space="preserve">или </w:t>
      </w:r>
      <w:r>
        <w:rPr>
          <w:sz w:val="24"/>
          <w:szCs w:val="24"/>
        </w:rPr>
        <w:t>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w:t>
      </w:r>
    </w:p>
    <w:p>
      <w:pPr>
        <w:pStyle w:val="Normal"/>
        <w:jc w:val="center"/>
        <w:rPr>
          <w:vertAlign w:val="superscript"/>
        </w:rPr>
      </w:pPr>
      <w:r>
        <w:rPr>
          <w:vertAlign w:val="superscript"/>
        </w:rPr>
        <w:t>(место нахождения / регистрации Заявителя)</w:t>
      </w:r>
    </w:p>
    <w:p>
      <w:pPr>
        <w:pStyle w:val="Normal"/>
        <w:rPr/>
      </w:pPr>
      <w:r>
        <w:rPr/>
        <w:t>предлагает заключить договор купли-продажи имущества Публичного акционерного общества «Федеральная гидрогенерирующая компания - РусГидро» (ПАО «РусГидро»)со следующей стоимостью заявки:</w:t>
      </w:r>
    </w:p>
    <w:p>
      <w:pPr>
        <w:pStyle w:val="Normal"/>
        <w:spacing w:before="120" w:after="0"/>
        <w:contextualSpacing/>
        <w:rPr/>
      </w:pPr>
      <w:r>
        <w:rPr/>
      </w:r>
    </w:p>
    <w:tbl>
      <w:tblPr>
        <w:tblW w:w="9923" w:type="dxa"/>
        <w:jc w:val="left"/>
        <w:tblInd w:w="108" w:type="dxa"/>
        <w:tblLayout w:type="fixed"/>
        <w:tblCellMar>
          <w:top w:w="0" w:type="dxa"/>
          <w:left w:w="108" w:type="dxa"/>
          <w:bottom w:w="0" w:type="dxa"/>
          <w:right w:w="108" w:type="dxa"/>
        </w:tblCellMar>
        <w:tblLook w:val="01e0" w:noVBand="0" w:noHBand="0" w:lastColumn="1" w:firstColumn="1" w:lastRow="1" w:firstRow="1"/>
      </w:tblPr>
      <w:tblGrid>
        <w:gridCol w:w="4962"/>
        <w:gridCol w:w="4960"/>
      </w:tblGrid>
      <w:tr>
        <w:trPr>
          <w:trHeight w:val="449" w:hRule="atLeast"/>
          <w:cantSplit w:val="true"/>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Документации</w:t>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в рамках Процедуры с учетом НДС, руб.</w:t>
            </w:r>
          </w:p>
        </w:tc>
      </w:tr>
      <w:tr>
        <w:trPr>
          <w:trHeight w:val="761" w:hRule="atLeast"/>
          <w:cantSplit w:val="true"/>
        </w:trPr>
        <w:tc>
          <w:tcPr>
            <w:tcW w:w="49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w:t>
            </w:r>
            <w:r>
              <w:rPr/>
              <w:t xml:space="preserve">. (…..) </w:t>
            </w:r>
          </w:p>
        </w:tc>
      </w:tr>
    </w:tbl>
    <w:p>
      <w:pPr>
        <w:pStyle w:val="Normal"/>
        <w:spacing w:before="120" w:after="0"/>
        <w:ind w:firstLine="567"/>
        <w:contextualSpacing/>
        <w:rPr/>
      </w:pPr>
      <w:r>
        <w:rPr/>
      </w:r>
    </w:p>
    <w:p>
      <w:pPr>
        <w:pStyle w:val="Normal"/>
        <w:spacing w:before="120" w:after="0"/>
        <w:ind w:firstLine="567"/>
        <w:contextualSpacing/>
        <w:rPr/>
      </w:pPr>
      <w:r>
        <w:rPr/>
        <w:t>Настоящая заявка, включая ценовое предложение, имеет правовой статус оферты и действует вплоть до истечения удвоенного срока, отведенного на заключение Договора, но не менее, чем в течение 90 (девяноста) календарных дней с даты окончания срока подачи заявок, установленной в Документации.</w:t>
      </w:r>
    </w:p>
    <w:p>
      <w:pPr>
        <w:pStyle w:val="Normal"/>
        <w:tabs>
          <w:tab w:val="clear" w:pos="567"/>
          <w:tab w:val="left" w:pos="993" w:leader="none"/>
        </w:tabs>
        <w:ind w:firstLine="567"/>
        <w:rPr/>
      </w:pPr>
      <w:bookmarkStart w:id="456" w:name="_Hlt440565644"/>
      <w:bookmarkEnd w:id="456"/>
      <w:r>
        <w:rPr/>
        <w:t>Настоящим Заявитель:</w:t>
      </w:r>
    </w:p>
    <w:p>
      <w:pPr>
        <w:pStyle w:val="ListParagraph"/>
        <w:numPr>
          <w:ilvl w:val="0"/>
          <w:numId w:val="18"/>
        </w:numPr>
        <w:tabs>
          <w:tab w:val="clear" w:pos="567"/>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8"/>
        </w:numPr>
        <w:tabs>
          <w:tab w:val="clear" w:pos="567"/>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8"/>
        </w:numPr>
        <w:tabs>
          <w:tab w:val="clear" w:pos="567"/>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pPr>
        <w:pStyle w:val="ListParagraph"/>
        <w:numPr>
          <w:ilvl w:val="0"/>
          <w:numId w:val="18"/>
        </w:numPr>
        <w:tabs>
          <w:tab w:val="clear" w:pos="567"/>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8"/>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8"/>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pPr>
        <w:pStyle w:val="ListParagraph"/>
        <w:numPr>
          <w:ilvl w:val="0"/>
          <w:numId w:val="18"/>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pPr>
        <w:pStyle w:val="ListParagraph"/>
        <w:numPr>
          <w:ilvl w:val="0"/>
          <w:numId w:val="18"/>
        </w:numPr>
        <w:tabs>
          <w:tab w:val="clear" w:pos="567"/>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pPr>
        <w:pStyle w:val="Normal"/>
        <w:tabs>
          <w:tab w:val="clear" w:pos="567"/>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567"/>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8"/>
        </w:numPr>
        <w:tabs>
          <w:tab w:val="clear" w:pos="567"/>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567"/>
          <w:tab w:val="left" w:pos="0" w:leader="none"/>
        </w:tabs>
        <w:spacing w:before="120" w:after="0"/>
        <w:contextualSpacing/>
        <w:rPr/>
      </w:pPr>
      <w:r>
        <w:rPr/>
      </w:r>
    </w:p>
    <w:p>
      <w:pPr>
        <w:pStyle w:val="Normal"/>
        <w:spacing w:before="120" w:after="0"/>
        <w:contextualSpacing/>
        <w:rPr/>
      </w:pPr>
      <w:bookmarkStart w:id="457" w:name="_Ref34763774"/>
      <w:bookmarkEnd w:id="457"/>
      <w:r>
        <w:rPr/>
        <w:t>____________________________________</w:t>
      </w:r>
    </w:p>
    <w:p>
      <w:pPr>
        <w:pStyle w:val="Normal"/>
        <w:ind w:right="3684" w:hanging="0"/>
        <w:jc w:val="center"/>
        <w:rPr>
          <w:vertAlign w:val="superscript"/>
        </w:rPr>
      </w:pPr>
      <w:r>
        <w:rPr>
          <w:vertAlign w:val="superscript"/>
        </w:rPr>
        <w:t>(подпись, М.П.)</w:t>
      </w:r>
    </w:p>
    <w:p>
      <w:pPr>
        <w:pStyle w:val="Normal"/>
        <w:spacing w:before="120" w:after="0"/>
        <w:contextualSpacing/>
        <w:rPr/>
      </w:pPr>
      <w:r>
        <w:rPr/>
        <w:t>____________________________________</w:t>
      </w:r>
    </w:p>
    <w:p>
      <w:pPr>
        <w:pStyle w:val="Normal"/>
        <w:ind w:right="3684"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37"/>
        <w:widowControl w:val="false"/>
        <w:numPr>
          <w:ilvl w:val="2"/>
          <w:numId w:val="4"/>
        </w:numPr>
        <w:tabs>
          <w:tab w:val="clear" w:pos="567"/>
          <w:tab w:val="left" w:pos="1134" w:leader="none"/>
        </w:tabs>
        <w:ind w:left="1418" w:hanging="1418"/>
        <w:rPr>
          <w:b/>
          <w:b/>
        </w:rPr>
      </w:pPr>
      <w:r>
        <w:rPr>
          <w:b/>
        </w:rPr>
        <w:t>Инструкции по заполнению</w:t>
      </w:r>
    </w:p>
    <w:p>
      <w:pPr>
        <w:pStyle w:val="Style38"/>
        <w:numPr>
          <w:ilvl w:val="3"/>
          <w:numId w:val="4"/>
        </w:numPr>
        <w:rPr/>
      </w:pPr>
      <w:r>
        <w:rPr/>
        <w:t>Заявку следует оформить на официальном бланке Заявителя / Участника. Заявитель / Участник присваивает заявке дату и номер в соответствии с принятыми у него правилами документооборота.</w:t>
      </w:r>
    </w:p>
    <w:p>
      <w:pPr>
        <w:pStyle w:val="Style38"/>
        <w:numPr>
          <w:ilvl w:val="3"/>
          <w:numId w:val="4"/>
        </w:numPr>
        <w:rPr/>
      </w:pPr>
      <w:r>
        <w:rPr/>
        <w:t>Заявитель / Участник должен указать свое ФИО или полное наименование (с указанием организационно-правовой формы) и место нахождения, ИНН, КПП, ОГРН, что применимо.</w:t>
      </w:r>
    </w:p>
    <w:p>
      <w:pPr>
        <w:pStyle w:val="Style38"/>
        <w:numPr>
          <w:ilvl w:val="3"/>
          <w:numId w:val="4"/>
        </w:numPr>
        <w:rPr/>
      </w:pPr>
      <w:r>
        <w:rPr/>
        <w:t>Заявка на участие в продаже без объявления цены должна быть подписана и скреплена печатью (при наличии).</w:t>
      </w:r>
    </w:p>
    <w:p>
      <w:pPr>
        <w:pStyle w:val="Normal"/>
        <w:rPr/>
      </w:pPr>
      <w:r>
        <w:rPr/>
      </w:r>
    </w:p>
    <w:p>
      <w:pPr>
        <w:pStyle w:val="Normal"/>
        <w:rPr/>
      </w:pPr>
      <w:r>
        <w:rPr/>
      </w:r>
      <w:bookmarkStart w:id="458" w:name="_Ref34763774"/>
      <w:bookmarkStart w:id="459" w:name="_Toc515659372"/>
      <w:bookmarkStart w:id="460" w:name="_Toc515659371"/>
      <w:bookmarkStart w:id="461" w:name="_Toc515659370"/>
      <w:bookmarkStart w:id="462" w:name="_Toc515659369"/>
      <w:bookmarkStart w:id="463" w:name="_Toc515659368"/>
      <w:bookmarkStart w:id="464" w:name="_Toc515659367"/>
      <w:bookmarkStart w:id="465" w:name="_Toc515659366"/>
      <w:bookmarkStart w:id="466" w:name="_Toc515659365"/>
      <w:bookmarkStart w:id="467" w:name="_Toc515659364"/>
      <w:bookmarkStart w:id="468" w:name="_Toc515659363"/>
      <w:bookmarkStart w:id="469" w:name="_Toc515659320"/>
      <w:bookmarkStart w:id="470" w:name="_Toc515659308"/>
      <w:bookmarkStart w:id="471" w:name="_Toc515659259"/>
      <w:bookmarkStart w:id="472" w:name="_Toc515659258"/>
      <w:bookmarkStart w:id="473" w:name="_Toc515659257"/>
      <w:bookmarkStart w:id="474" w:name="_Toc515659256"/>
      <w:bookmarkStart w:id="475" w:name="_Toc515659255"/>
      <w:bookmarkStart w:id="476" w:name="_Toc515659254"/>
      <w:bookmarkStart w:id="477" w:name="_Toc515659253"/>
      <w:bookmarkStart w:id="478" w:name="_Toc515659252"/>
      <w:bookmarkStart w:id="479" w:name="_Toc515659251"/>
      <w:bookmarkStart w:id="480" w:name="_Toc515659250"/>
      <w:bookmarkStart w:id="481" w:name="_Toc515659249"/>
      <w:bookmarkStart w:id="482" w:name="_Toc515659248"/>
      <w:bookmarkStart w:id="483" w:name="_Toc515659247"/>
      <w:bookmarkStart w:id="484" w:name="_Toc515659246"/>
      <w:bookmarkStart w:id="485" w:name="_Toc515659245"/>
      <w:bookmarkStart w:id="486" w:name="_Toc515659244"/>
      <w:bookmarkStart w:id="487" w:name="_Toc515659243"/>
      <w:bookmarkStart w:id="488" w:name="_Toc515659242"/>
      <w:bookmarkStart w:id="489" w:name="_Toc515659241"/>
      <w:bookmarkStart w:id="490" w:name="_Toc515659240"/>
      <w:bookmarkStart w:id="491" w:name="_Ref34763774"/>
      <w:bookmarkStart w:id="492" w:name="_Toc515659372"/>
      <w:bookmarkStart w:id="493" w:name="_Toc515659371"/>
      <w:bookmarkStart w:id="494" w:name="_Toc515659370"/>
      <w:bookmarkStart w:id="495" w:name="_Toc515659369"/>
      <w:bookmarkStart w:id="496" w:name="_Toc515659368"/>
      <w:bookmarkStart w:id="497" w:name="_Toc515659367"/>
      <w:bookmarkStart w:id="498" w:name="_Toc515659366"/>
      <w:bookmarkStart w:id="499" w:name="_Toc515659365"/>
      <w:bookmarkStart w:id="500" w:name="_Toc515659364"/>
      <w:bookmarkStart w:id="501" w:name="_Toc515659363"/>
      <w:bookmarkStart w:id="502" w:name="_Toc515659320"/>
      <w:bookmarkStart w:id="503" w:name="_Toc515659308"/>
      <w:bookmarkStart w:id="504" w:name="_Toc515659259"/>
      <w:bookmarkStart w:id="505" w:name="_Toc515659258"/>
      <w:bookmarkStart w:id="506" w:name="_Toc515659257"/>
      <w:bookmarkStart w:id="507" w:name="_Toc515659256"/>
      <w:bookmarkStart w:id="508" w:name="_Toc515659255"/>
      <w:bookmarkStart w:id="509" w:name="_Toc515659254"/>
      <w:bookmarkStart w:id="510" w:name="_Toc515659253"/>
      <w:bookmarkStart w:id="511" w:name="_Toc515659252"/>
      <w:bookmarkStart w:id="512" w:name="_Toc515659251"/>
      <w:bookmarkStart w:id="513" w:name="_Toc515659250"/>
      <w:bookmarkStart w:id="514" w:name="_Toc515659249"/>
      <w:bookmarkStart w:id="515" w:name="_Toc515659248"/>
      <w:bookmarkStart w:id="516" w:name="_Toc515659247"/>
      <w:bookmarkStart w:id="517" w:name="_Toc515659246"/>
      <w:bookmarkStart w:id="518" w:name="_Toc515659245"/>
      <w:bookmarkStart w:id="519" w:name="_Toc515659244"/>
      <w:bookmarkStart w:id="520" w:name="_Toc515659243"/>
      <w:bookmarkStart w:id="521" w:name="_Toc515659242"/>
      <w:bookmarkStart w:id="522" w:name="_Toc515659241"/>
      <w:bookmarkStart w:id="523" w:name="_Toc51565924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br w:type="page"/>
      </w:r>
    </w:p>
    <w:p>
      <w:pPr>
        <w:pStyle w:val="Normal"/>
        <w:numPr>
          <w:ilvl w:val="0"/>
          <w:numId w:val="0"/>
        </w:numPr>
        <w:spacing w:before="480" w:after="360"/>
        <w:jc w:val="center"/>
        <w:outlineLvl w:val="4"/>
        <w:rPr/>
      </w:pPr>
      <w:bookmarkStart w:id="524" w:name="_Toc536798429"/>
      <w:bookmarkStart w:id="525" w:name="_Ref384123555"/>
      <w:bookmarkStart w:id="526" w:name="_Ref384123551"/>
      <w:bookmarkStart w:id="527" w:name="_Ref324332092"/>
      <w:bookmarkStart w:id="528" w:name="_Toc502257251"/>
      <w:bookmarkStart w:id="529" w:name="_Toc501038137"/>
      <w:bookmarkStart w:id="530" w:name="_Toc502257250"/>
      <w:bookmarkStart w:id="531" w:name="_Toc501038136"/>
      <w:bookmarkStart w:id="532" w:name="_Toc502257249"/>
      <w:bookmarkStart w:id="533" w:name="_Toc502257248"/>
      <w:bookmarkStart w:id="534" w:name="_Toc502257247"/>
      <w:bookmarkStart w:id="535" w:name="_Toc502257246"/>
      <w:bookmarkStart w:id="536" w:name="_Toc502257245"/>
      <w:bookmarkStart w:id="537" w:name="_Toc502257244"/>
      <w:bookmarkStart w:id="538" w:name="_Toc502257243"/>
      <w:bookmarkStart w:id="539" w:name="_Toc502257242"/>
      <w:bookmarkStart w:id="540" w:name="_Toc502257241"/>
      <w:bookmarkStart w:id="541" w:name="_Toc502257240"/>
      <w:bookmarkStart w:id="542" w:name="_Toc502257239"/>
      <w:bookmarkStart w:id="543" w:name="_Toc502257238"/>
      <w:bookmarkStart w:id="544" w:name="_Toc502257237"/>
      <w:bookmarkStart w:id="545" w:name="_Toc502257236"/>
      <w:bookmarkStart w:id="546" w:name="_Toc502257235"/>
      <w:bookmarkStart w:id="547" w:name="_Toc502257234"/>
      <w:bookmarkStart w:id="548" w:name="_Toc502257233"/>
      <w:bookmarkStart w:id="549" w:name="_Toc502257232"/>
      <w:bookmarkStart w:id="550" w:name="_Toc502257231"/>
      <w:bookmarkStart w:id="551" w:name="_Toc502257230"/>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Pr>
          <w:b/>
          <w:sz w:val="36"/>
        </w:rPr>
        <w:t xml:space="preserve">Извещение о проведении процедуры продажи без объявления цены на право заключения договора купли-продажи имущества Публичного акционерного общества «Федеральная гидрогенерирующая компания - РусГидро» (ПАО «РусГидро») </w:t>
      </w:r>
      <w:r>
        <w:rPr/>
        <w:t>(посредством запроса предложений)</w:t>
      </w:r>
    </w:p>
    <w:tbl>
      <w:tblPr>
        <w:tblW w:w="10206"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817"/>
        <w:gridCol w:w="3011"/>
        <w:gridCol w:w="6378"/>
      </w:tblGrid>
      <w:tr>
        <w:trPr/>
        <w:tc>
          <w:tcPr>
            <w:tcW w:w="817" w:type="dxa"/>
            <w:tcBorders/>
            <w:vAlign w:val="center"/>
          </w:tcPr>
          <w:p>
            <w:pPr>
              <w:pStyle w:val="Normal"/>
              <w:widowControl w:val="false"/>
              <w:spacing w:before="120" w:after="0"/>
              <w:jc w:val="center"/>
              <w:rPr>
                <w:b/>
                <w:b/>
              </w:rPr>
            </w:pPr>
            <w:r>
              <w:rPr>
                <w:b/>
              </w:rPr>
              <w:t>№</w:t>
            </w:r>
            <w:r>
              <w:rPr>
                <w:b/>
              </w:rPr>
              <w:br/>
              <w:t>п/п</w:t>
            </w:r>
          </w:p>
        </w:tc>
        <w:tc>
          <w:tcPr>
            <w:tcW w:w="3011" w:type="dxa"/>
            <w:tcBorders/>
            <w:vAlign w:val="center"/>
          </w:tcPr>
          <w:p>
            <w:pPr>
              <w:pStyle w:val="Normal"/>
              <w:widowControl w:val="false"/>
              <w:spacing w:before="120" w:after="0"/>
              <w:jc w:val="center"/>
              <w:rPr>
                <w:b/>
                <w:b/>
              </w:rPr>
            </w:pPr>
            <w:r>
              <w:rPr>
                <w:b/>
              </w:rPr>
              <w:t>Наименование</w:t>
            </w:r>
          </w:p>
        </w:tc>
        <w:tc>
          <w:tcPr>
            <w:tcW w:w="6378" w:type="dxa"/>
            <w:tcBorders/>
            <w:vAlign w:val="center"/>
          </w:tcPr>
          <w:p>
            <w:pPr>
              <w:pStyle w:val="Normal"/>
              <w:widowControl w:val="false"/>
              <w:spacing w:before="120" w:after="0"/>
              <w:jc w:val="center"/>
              <w:rPr>
                <w:b/>
                <w:b/>
              </w:rPr>
            </w:pPr>
            <w:r>
              <w:rPr>
                <w:b/>
              </w:rPr>
              <w:t>Содержание пункта Извещения</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b/>
                <w:b/>
              </w:rPr>
            </w:pPr>
            <w:r>
              <w:rPr/>
              <w:t>Способ продажи</w:t>
            </w:r>
          </w:p>
        </w:tc>
        <w:tc>
          <w:tcPr>
            <w:tcW w:w="6378" w:type="dxa"/>
            <w:tcBorders/>
          </w:tcPr>
          <w:p>
            <w:pPr>
              <w:pStyle w:val="Normal"/>
              <w:widowControl w:val="false"/>
              <w:spacing w:before="120" w:after="120"/>
              <w:rPr/>
            </w:pPr>
            <w:r>
              <w:rPr/>
              <w:t>Запрос предложений (без объявления цены)</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 xml:space="preserve">Продавец </w:t>
            </w:r>
          </w:p>
        </w:tc>
        <w:tc>
          <w:tcPr>
            <w:tcW w:w="6378" w:type="dxa"/>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Красноярский край, г. Красноярск, ул. Дубровинского, д. 43, корпус 1</w:t>
            </w:r>
          </w:p>
          <w:p>
            <w:pPr>
              <w:pStyle w:val="Tableheader"/>
              <w:widowControl w:val="false"/>
              <w:rPr>
                <w:b w:val="false"/>
                <w:b w:val="false"/>
                <w:sz w:val="26"/>
                <w:szCs w:val="26"/>
              </w:rPr>
            </w:pPr>
            <w:r>
              <w:rPr>
                <w:b w:val="false"/>
                <w:sz w:val="26"/>
                <w:szCs w:val="26"/>
              </w:rPr>
              <w:t xml:space="preserve">Почтовый адрес: 357115, Ставропольский край, г. Невинномысск, ул. Водопроводная д. 360а </w:t>
            </w:r>
          </w:p>
          <w:p>
            <w:pPr>
              <w:pStyle w:val="Normal"/>
              <w:widowControl w:val="false"/>
              <w:tabs>
                <w:tab w:val="clear" w:pos="567"/>
                <w:tab w:val="left" w:pos="426" w:leader="none"/>
              </w:tabs>
              <w:spacing w:before="120" w:after="120"/>
              <w:rPr>
                <w:rFonts w:eastAsia="Lucida Sans Unicode"/>
                <w:i/>
                <w:i/>
                <w:kern w:val="2"/>
                <w:shd w:fill="FFFF99" w:val="clear"/>
              </w:rPr>
            </w:pPr>
            <w:r>
              <w:rPr/>
              <w:t>Адрес электронной почты: kkges@rushydro.ru Контактный телефон: 8 86554 4-16-19</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bookmarkStart w:id="552" w:name="_Ref514805111"/>
            <w:bookmarkStart w:id="553" w:name="_Ref514805111"/>
            <w:bookmarkEnd w:id="553"/>
          </w:p>
        </w:tc>
        <w:tc>
          <w:tcPr>
            <w:tcW w:w="3011" w:type="dxa"/>
            <w:tcBorders/>
          </w:tcPr>
          <w:p>
            <w:pPr>
              <w:pStyle w:val="Normal"/>
              <w:widowControl w:val="false"/>
              <w:spacing w:before="120" w:after="0"/>
              <w:jc w:val="left"/>
              <w:rPr/>
            </w:pPr>
            <w:r>
              <w:rPr/>
              <w:t xml:space="preserve">Организатор продажи </w:t>
            </w:r>
          </w:p>
        </w:tc>
        <w:tc>
          <w:tcPr>
            <w:tcW w:w="6378" w:type="dxa"/>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Красноярский край, г. Красноярск, ул. Дубровинского, д. 43, корпус 1</w:t>
            </w:r>
          </w:p>
          <w:p>
            <w:pPr>
              <w:pStyle w:val="Tableheader"/>
              <w:widowControl w:val="false"/>
              <w:rPr>
                <w:b w:val="false"/>
                <w:b w:val="false"/>
                <w:sz w:val="26"/>
                <w:szCs w:val="26"/>
              </w:rPr>
            </w:pPr>
            <w:r>
              <w:rPr>
                <w:b w:val="false"/>
                <w:sz w:val="26"/>
                <w:szCs w:val="26"/>
              </w:rPr>
              <w:t>Почтовый адрес: 357115, Ставропольский край, г. Невинномысск, ул. Водопроводная д. 360а</w:t>
            </w:r>
          </w:p>
          <w:p>
            <w:pPr>
              <w:pStyle w:val="Tableheader"/>
              <w:widowControl w:val="false"/>
              <w:rPr>
                <w:b w:val="false"/>
                <w:b w:val="false"/>
                <w:sz w:val="26"/>
                <w:szCs w:val="26"/>
              </w:rPr>
            </w:pPr>
            <w:r>
              <w:rPr>
                <w:b w:val="false"/>
                <w:sz w:val="26"/>
                <w:szCs w:val="26"/>
              </w:rPr>
              <w:t>Адрес электронной почты: kkges@rushydro.ru</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8 86554 4-16-19</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bookmarkStart w:id="554" w:name="_Ref514805119"/>
            <w:bookmarkStart w:id="555" w:name="_Ref514805119"/>
            <w:bookmarkEnd w:id="555"/>
          </w:p>
        </w:tc>
        <w:tc>
          <w:tcPr>
            <w:tcW w:w="3011" w:type="dxa"/>
            <w:tcBorders/>
          </w:tcPr>
          <w:p>
            <w:pPr>
              <w:pStyle w:val="Normal"/>
              <w:widowControl w:val="false"/>
              <w:spacing w:before="120" w:after="0"/>
              <w:jc w:val="left"/>
              <w:rPr/>
            </w:pPr>
            <w:r>
              <w:rPr/>
              <w:t>Представитель Организатора</w:t>
            </w:r>
          </w:p>
        </w:tc>
        <w:tc>
          <w:tcPr>
            <w:tcW w:w="6378" w:type="dxa"/>
            <w:tcBorders/>
          </w:tcPr>
          <w:p>
            <w:pPr>
              <w:pStyle w:val="Tableheader"/>
              <w:widowControl w:val="false"/>
              <w:spacing w:before="120" w:after="120"/>
              <w:rPr>
                <w:b w:val="false"/>
                <w:b w:val="false"/>
                <w:sz w:val="26"/>
                <w:szCs w:val="26"/>
              </w:rPr>
            </w:pPr>
            <w:r>
              <w:rPr>
                <w:b w:val="false"/>
                <w:sz w:val="26"/>
                <w:szCs w:val="26"/>
              </w:rPr>
              <w:t>Контактное лицо (Ф.И.О.): Левичев Антон Олегович Контактный телефон: 8 86554 4-16-19</w:t>
            </w:r>
          </w:p>
          <w:p>
            <w:pPr>
              <w:pStyle w:val="Normal"/>
              <w:widowControl w:val="false"/>
              <w:tabs>
                <w:tab w:val="clear" w:pos="567"/>
                <w:tab w:val="left" w:pos="426" w:leader="none"/>
              </w:tabs>
              <w:spacing w:before="120" w:after="120"/>
              <w:rPr>
                <w:rFonts w:eastAsia="Lucida Sans Unicode"/>
                <w:i/>
                <w:i/>
                <w:kern w:val="2"/>
                <w:shd w:fill="FFFF99" w:val="clear"/>
              </w:rPr>
            </w:pPr>
            <w:r>
              <w:rPr/>
              <w:t>Адрес электронной почты: LevichevAO@kkges.rushydro.ru</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bookmarkStart w:id="556" w:name="_Ref514805016"/>
            <w:bookmarkStart w:id="557" w:name="_Ref514805016"/>
            <w:bookmarkEnd w:id="557"/>
          </w:p>
        </w:tc>
        <w:tc>
          <w:tcPr>
            <w:tcW w:w="3011" w:type="dxa"/>
            <w:tcBorders/>
          </w:tcPr>
          <w:p>
            <w:pPr>
              <w:pStyle w:val="Normal"/>
              <w:widowControl w:val="false"/>
              <w:spacing w:before="120" w:after="0"/>
              <w:jc w:val="left"/>
              <w:rPr/>
            </w:pPr>
            <w:r>
              <w:rPr/>
              <w:t>Наименование и адрес ЭТП</w:t>
            </w:r>
          </w:p>
        </w:tc>
        <w:tc>
          <w:tcPr>
            <w:tcW w:w="6378" w:type="dxa"/>
            <w:tcBorders/>
          </w:tcPr>
          <w:p>
            <w:pPr>
              <w:pStyle w:val="Normal"/>
              <w:widowControl w:val="false"/>
              <w:tabs>
                <w:tab w:val="clear" w:pos="567"/>
                <w:tab w:val="left" w:pos="426" w:leader="none"/>
              </w:tabs>
              <w:spacing w:before="120" w:after="120"/>
              <w:rPr>
                <w:b/>
                <w:b/>
              </w:rPr>
            </w:pPr>
            <w:r>
              <w:rPr/>
              <w:t>Электронная торговая площадка Универсальная электронная площадка РАД Lot-online www. https://lot-online.ru</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b/>
                <w:b/>
              </w:rPr>
            </w:pPr>
            <w:r>
              <w:rPr/>
              <w:t>Предмет Договора</w:t>
            </w:r>
          </w:p>
        </w:tc>
        <w:tc>
          <w:tcPr>
            <w:tcW w:w="6378" w:type="dxa"/>
            <w:tcBorders/>
          </w:tcPr>
          <w:p>
            <w:pPr>
              <w:pStyle w:val="Tableheader"/>
              <w:widowControl w:val="false"/>
              <w:spacing w:before="120" w:after="0"/>
              <w:rPr>
                <w:b w:val="false"/>
                <w:b w:val="false"/>
                <w:sz w:val="26"/>
                <w:szCs w:val="26"/>
              </w:rPr>
            </w:pPr>
            <w:r>
              <w:rPr>
                <w:b w:val="false"/>
                <w:sz w:val="26"/>
                <w:szCs w:val="26"/>
              </w:rPr>
              <w:t>Склад смешанных товаров, площадь 406,8 кв.м., кадастровый номер 09:02:0000000:15694.</w:t>
            </w:r>
          </w:p>
          <w:p>
            <w:pPr>
              <w:pStyle w:val="Tableheader"/>
              <w:widowControl w:val="false"/>
              <w:rPr>
                <w:b w:val="false"/>
                <w:b w:val="false"/>
                <w:sz w:val="26"/>
                <w:szCs w:val="26"/>
              </w:rPr>
            </w:pPr>
            <w:r>
              <w:rPr>
                <w:b w:val="false"/>
                <w:sz w:val="26"/>
                <w:szCs w:val="26"/>
              </w:rPr>
              <w:t>Часть здания – склад, площадь 22,9 кв.м., кадастровый номер 09:02:0310101:592.</w:t>
            </w:r>
          </w:p>
          <w:p>
            <w:pPr>
              <w:pStyle w:val="Normal"/>
              <w:widowControl w:val="false"/>
              <w:spacing w:before="120" w:after="120"/>
              <w:rPr>
                <w:b/>
                <w:b/>
              </w:rPr>
            </w:pPr>
            <w:r>
              <w:rPr/>
              <w:t>Адрес местонахождения: Карачаево-Черкесская Республика, Прикубанский р-н, п. Ударный, ул. Молодежная, д 11.</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 xml:space="preserve">Краткое описание предмета продажи </w:t>
            </w:r>
          </w:p>
        </w:tc>
        <w:tc>
          <w:tcPr>
            <w:tcW w:w="6378" w:type="dxa"/>
            <w:tcBorders/>
          </w:tcPr>
          <w:p>
            <w:pPr>
              <w:pStyle w:val="Tableheader"/>
              <w:widowControl w:val="false"/>
              <w:spacing w:before="120" w:after="0"/>
              <w:rPr>
                <w:b w:val="false"/>
                <w:b w:val="false"/>
                <w:sz w:val="26"/>
                <w:szCs w:val="26"/>
              </w:rPr>
            </w:pPr>
            <w:r>
              <w:rPr>
                <w:b w:val="false"/>
                <w:sz w:val="26"/>
                <w:szCs w:val="26"/>
              </w:rPr>
              <w:t>Описание предмета продажи содержится в Документации.</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Адрес местонахождения предмета продажи</w:t>
            </w:r>
          </w:p>
        </w:tc>
        <w:tc>
          <w:tcPr>
            <w:tcW w:w="6378" w:type="dxa"/>
            <w:tcBorders/>
          </w:tcPr>
          <w:p>
            <w:pPr>
              <w:pStyle w:val="Normal"/>
              <w:widowControl w:val="false"/>
              <w:spacing w:before="120" w:after="120"/>
              <w:rPr>
                <w:i/>
                <w:i/>
                <w:shd w:fill="FFFF99" w:val="clear"/>
              </w:rPr>
            </w:pPr>
            <w:r>
              <w:rPr/>
              <w:t>В соответствии с Документацией.</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bookmarkStart w:id="558" w:name="_Ref523922333"/>
            <w:bookmarkStart w:id="559" w:name="_Ref523922333"/>
            <w:bookmarkEnd w:id="559"/>
          </w:p>
        </w:tc>
        <w:tc>
          <w:tcPr>
            <w:tcW w:w="3011" w:type="dxa"/>
            <w:tcBorders/>
          </w:tcPr>
          <w:p>
            <w:pPr>
              <w:pStyle w:val="Normal"/>
              <w:widowControl w:val="false"/>
              <w:spacing w:before="120" w:after="0"/>
              <w:jc w:val="left"/>
              <w:rPr/>
            </w:pPr>
            <w:r>
              <w:rPr/>
              <w:t>Начальная цена продажи</w:t>
            </w:r>
          </w:p>
        </w:tc>
        <w:tc>
          <w:tcPr>
            <w:tcW w:w="6378" w:type="dxa"/>
            <w:tcBorders/>
          </w:tcPr>
          <w:p>
            <w:pPr>
              <w:pStyle w:val="Normal"/>
              <w:widowControl w:val="false"/>
              <w:tabs>
                <w:tab w:val="clear" w:pos="567"/>
                <w:tab w:val="left" w:pos="426" w:leader="none"/>
              </w:tabs>
              <w:spacing w:before="120" w:after="0"/>
              <w:rPr>
                <w:b/>
                <w:b/>
              </w:rPr>
            </w:pPr>
            <w:r>
              <w:rPr/>
              <w:t>Не установлена, но не менее 60 000 рублей с НДС</w:t>
            </w:r>
          </w:p>
          <w:p>
            <w:pPr>
              <w:pStyle w:val="Normal"/>
              <w:widowControl w:val="false"/>
              <w:tabs>
                <w:tab w:val="clear" w:pos="567"/>
                <w:tab w:val="left" w:pos="426" w:leader="none"/>
              </w:tabs>
              <w:spacing w:before="120" w:after="120"/>
              <w:rPr>
                <w:b/>
                <w:b/>
              </w:rPr>
            </w:pPr>
            <w:r>
              <w:rPr>
                <w:b/>
              </w:rPr>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Валюта Договора</w:t>
            </w:r>
          </w:p>
        </w:tc>
        <w:tc>
          <w:tcPr>
            <w:tcW w:w="6378" w:type="dxa"/>
            <w:tcBorders/>
          </w:tcPr>
          <w:p>
            <w:pPr>
              <w:pStyle w:val="Normal"/>
              <w:widowControl w:val="false"/>
              <w:tabs>
                <w:tab w:val="clear" w:pos="567"/>
                <w:tab w:val="left" w:pos="426" w:leader="none"/>
              </w:tabs>
              <w:spacing w:before="120" w:after="0"/>
              <w:rPr>
                <w:rFonts w:eastAsia="Lucida Sans Unicode"/>
                <w:i/>
                <w:i/>
                <w:kern w:val="2"/>
                <w:shd w:fill="FFFF99" w:val="clear"/>
              </w:rPr>
            </w:pPr>
            <w:r>
              <w:rPr/>
              <w:t xml:space="preserve">Российский рубль </w:t>
            </w:r>
          </w:p>
        </w:tc>
      </w:tr>
      <w:tr>
        <w:trPr>
          <w:trHeight w:val="2097" w:hRule="atLeast"/>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bookmarkStart w:id="560" w:name="_Hlk523925792"/>
            <w:bookmarkStart w:id="561" w:name="_Hlk523925792"/>
          </w:p>
        </w:tc>
        <w:tc>
          <w:tcPr>
            <w:tcW w:w="3011" w:type="dxa"/>
            <w:tcBorders/>
          </w:tcPr>
          <w:p>
            <w:pPr>
              <w:pStyle w:val="Normal"/>
              <w:widowControl w:val="false"/>
              <w:spacing w:before="120" w:after="0"/>
              <w:jc w:val="left"/>
              <w:rPr/>
            </w:pPr>
            <w:r>
              <w:rPr/>
              <w:t xml:space="preserve">Участник Процедуры </w:t>
            </w:r>
          </w:p>
        </w:tc>
        <w:tc>
          <w:tcPr>
            <w:tcW w:w="6378" w:type="dxa"/>
            <w:tcBorders/>
            <w:vAlign w:val="center"/>
          </w:tcPr>
          <w:p>
            <w:pPr>
              <w:pStyle w:val="Normal"/>
              <w:widowControl w:val="false"/>
              <w:spacing w:before="120" w:after="0"/>
              <w:rPr/>
            </w:pPr>
            <w:r>
              <w:rPr/>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Pr>
                <w:color w:val="000000"/>
              </w:rPr>
              <w:t>чья заявка признана соответствующей требованиям Документации</w:t>
            </w:r>
            <w:r>
              <w:rPr/>
              <w:t>.</w:t>
            </w:r>
            <w:bookmarkEnd w:id="561"/>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Срок, место и порядок предоставления Документации</w:t>
            </w:r>
          </w:p>
        </w:tc>
        <w:tc>
          <w:tcPr>
            <w:tcW w:w="6378" w:type="dxa"/>
            <w:tcBorders/>
          </w:tcPr>
          <w:p>
            <w:pPr>
              <w:pStyle w:val="Normal"/>
              <w:widowControl w:val="false"/>
              <w:tabs>
                <w:tab w:val="clear" w:pos="567"/>
                <w:tab w:val="left" w:pos="426" w:leader="none"/>
              </w:tabs>
              <w:spacing w:before="120" w:after="120"/>
              <w:rPr/>
            </w:pPr>
            <w:r>
              <w:rPr/>
              <w:t xml:space="preserve">Документация размещена на официальном сайте электронной торговой площадки РАД Lot-online в сети Интернет www.https://lot-online.ru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на бумажном носителе не предусмотрено. </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Дата и время подачи заявок на участие в Процедуре</w:t>
            </w:r>
          </w:p>
        </w:tc>
        <w:tc>
          <w:tcPr>
            <w:tcW w:w="6378" w:type="dxa"/>
            <w:tcBorders/>
          </w:tcPr>
          <w:p>
            <w:pPr>
              <w:pStyle w:val="Normal"/>
              <w:widowControl w:val="false"/>
              <w:spacing w:before="120" w:after="0"/>
              <w:rPr/>
            </w:pPr>
            <w:r>
              <w:rPr/>
              <w:t>Дата начала подачи заявок:</w:t>
            </w:r>
          </w:p>
          <w:p>
            <w:pPr>
              <w:pStyle w:val="Normal"/>
              <w:widowControl w:val="false"/>
              <w:spacing w:before="120" w:after="120"/>
              <w:rPr/>
            </w:pPr>
            <w:r>
              <w:rPr/>
              <w:t xml:space="preserve">«13» июня 2023 г. </w:t>
            </w:r>
          </w:p>
          <w:p>
            <w:pPr>
              <w:pStyle w:val="Normal"/>
              <w:widowControl w:val="false"/>
              <w:rPr/>
            </w:pPr>
            <w:r>
              <w:rPr/>
              <w:t>Дата и время окончания срока подачи заявок:</w:t>
            </w:r>
          </w:p>
          <w:p>
            <w:pPr>
              <w:pStyle w:val="Tableheader"/>
              <w:widowControl w:val="false"/>
              <w:spacing w:before="120" w:after="120"/>
              <w:rPr>
                <w:b w:val="false"/>
                <w:b w:val="false"/>
                <w:sz w:val="26"/>
                <w:szCs w:val="26"/>
              </w:rPr>
            </w:pPr>
            <w:r>
              <w:rPr>
                <w:b w:val="false"/>
                <w:sz w:val="26"/>
                <w:szCs w:val="26"/>
              </w:rPr>
              <w:t>«14» июля 2023 г. в 13 ч. 00 мин. по московскому времени.</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Порядок подачи заявок</w:t>
            </w:r>
          </w:p>
        </w:tc>
        <w:tc>
          <w:tcPr>
            <w:tcW w:w="6378" w:type="dxa"/>
            <w:tcBorders/>
          </w:tcPr>
          <w:p>
            <w:pPr>
              <w:pStyle w:val="Tabletext"/>
              <w:widowControl w:val="false"/>
              <w:spacing w:before="120" w:after="0"/>
              <w:ind w:left="-44" w:hanging="0"/>
              <w:rPr>
                <w:b/>
                <w:b/>
                <w:sz w:val="26"/>
                <w:szCs w:val="26"/>
              </w:rPr>
            </w:pPr>
            <w:r>
              <w:rPr>
                <w:sz w:val="26"/>
                <w:szCs w:val="26"/>
              </w:rPr>
              <w:t>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sz w:val="26"/>
                <w:szCs w:val="26"/>
              </w:rPr>
              <w:t xml:space="preserve"> настоящего Извещения.</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0"/>
              <w:jc w:val="left"/>
              <w:rPr/>
            </w:pPr>
            <w:r>
              <w:rPr/>
              <w:t>Дата и время подведения итогов Процедуры</w:t>
            </w:r>
          </w:p>
        </w:tc>
        <w:tc>
          <w:tcPr>
            <w:tcW w:w="6378" w:type="dxa"/>
            <w:tcBorders/>
          </w:tcPr>
          <w:p>
            <w:pPr>
              <w:pStyle w:val="Normal"/>
              <w:widowControl w:val="false"/>
              <w:tabs>
                <w:tab w:val="clear" w:pos="567"/>
                <w:tab w:val="left" w:pos="426" w:leader="none"/>
              </w:tabs>
              <w:spacing w:before="120" w:after="120"/>
              <w:rPr>
                <w:rStyle w:val="Style11"/>
                <w:b w:val="false"/>
                <w:b w:val="false"/>
              </w:rPr>
            </w:pPr>
            <w:r>
              <w:rPr/>
              <w:t>«18» июля 2023 г. в 14 ч. 00 мин.  по московскому времени.</w:t>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3011" w:type="dxa"/>
            <w:tcBorders/>
          </w:tcPr>
          <w:p>
            <w:pPr>
              <w:pStyle w:val="Normal"/>
              <w:widowControl w:val="false"/>
              <w:spacing w:before="120" w:after="120"/>
              <w:jc w:val="left"/>
              <w:rPr/>
            </w:pPr>
            <w:r>
              <w:rPr/>
              <w:t>Порядок подведения итогов Процедуры</w:t>
            </w:r>
          </w:p>
        </w:tc>
        <w:tc>
          <w:tcPr>
            <w:tcW w:w="6378" w:type="dxa"/>
            <w:tcBorders/>
          </w:tcPr>
          <w:p>
            <w:pPr>
              <w:pStyle w:val="Tableheader"/>
              <w:widowControl w:val="false"/>
              <w:spacing w:before="120" w:after="0"/>
              <w:rPr>
                <w:b w:val="false"/>
                <w:b w:val="false"/>
                <w:sz w:val="26"/>
                <w:szCs w:val="26"/>
              </w:rPr>
            </w:pPr>
            <w:r>
              <w:rPr>
                <w:b w:val="false"/>
                <w:sz w:val="26"/>
                <w:szCs w:val="26"/>
              </w:rPr>
              <w:t>Победителем Процедуры признается Участник, предложивший наиболее высокую цену Договора</w:t>
            </w:r>
            <w:r>
              <w:rPr>
                <w:b w:val="false"/>
              </w:rPr>
              <w:t xml:space="preserve">. </w:t>
            </w:r>
          </w:p>
          <w:p>
            <w:pPr>
              <w:pStyle w:val="Tableheader"/>
              <w:widowControl w:val="false"/>
              <w:spacing w:before="120" w:after="120"/>
              <w:rPr>
                <w:b w:val="false"/>
                <w:b w:val="false"/>
                <w:sz w:val="26"/>
                <w:szCs w:val="26"/>
              </w:rPr>
            </w:pPr>
            <w:r>
              <w:rPr>
                <w:b w:val="false"/>
                <w:sz w:val="26"/>
                <w:szCs w:val="26"/>
              </w:rPr>
            </w:r>
          </w:p>
        </w:tc>
      </w:tr>
      <w:tr>
        <w:trPr/>
        <w:tc>
          <w:tcPr>
            <w:tcW w:w="817" w:type="dxa"/>
            <w:tcBorders/>
          </w:tcPr>
          <w:p>
            <w:pPr>
              <w:pStyle w:val="ListParagraph"/>
              <w:widowControl w:val="false"/>
              <w:numPr>
                <w:ilvl w:val="0"/>
                <w:numId w:val="9"/>
              </w:numPr>
              <w:spacing w:before="120" w:after="0"/>
              <w:ind w:left="0" w:hanging="0"/>
              <w:contextualSpacing w:val="false"/>
              <w:jc w:val="center"/>
              <w:rPr>
                <w:rFonts w:ascii="Times New Roman" w:hAnsi="Times New Roman"/>
                <w:sz w:val="26"/>
              </w:rPr>
            </w:pPr>
            <w:r>
              <w:rPr>
                <w:rFonts w:ascii="Times New Roman" w:hAnsi="Times New Roman"/>
                <w:sz w:val="26"/>
              </w:rPr>
            </w:r>
            <w:bookmarkStart w:id="562" w:name="_Ref446062609"/>
            <w:bookmarkStart w:id="563" w:name="_Ref446062609"/>
            <w:bookmarkEnd w:id="563"/>
          </w:p>
        </w:tc>
        <w:tc>
          <w:tcPr>
            <w:tcW w:w="9389" w:type="dxa"/>
            <w:gridSpan w:val="2"/>
            <w:tcBorders/>
          </w:tcPr>
          <w:p>
            <w:pPr>
              <w:pStyle w:val="Normal"/>
              <w:widowControl w:val="false"/>
              <w:spacing w:before="120" w:after="120"/>
              <w:rPr/>
            </w:pPr>
            <w:r>
              <w:rPr/>
              <w:t>Подробное описание предмета продажи и условий Договора, а также процедур продажи без объявления цены содержится в Документации.</w:t>
            </w:r>
          </w:p>
        </w:tc>
      </w:tr>
    </w:tbl>
    <w:p>
      <w:pPr>
        <w:pStyle w:val="Normal"/>
        <w:rPr/>
      </w:pPr>
      <w:r>
        <w:rPr/>
      </w:r>
    </w:p>
    <w:p>
      <w:pPr>
        <w:pStyle w:val="1"/>
        <w:keepNext w:val="false"/>
        <w:keepLines w:val="false"/>
        <w:numPr>
          <w:ilvl w:val="0"/>
          <w:numId w:val="0"/>
        </w:numPr>
        <w:ind w:left="1134" w:hanging="1134"/>
        <w:jc w:val="right"/>
        <w:rPr>
          <w:rFonts w:ascii="Times New Roman" w:hAnsi="Times New Roman"/>
          <w:sz w:val="28"/>
          <w:szCs w:val="28"/>
        </w:rPr>
      </w:pPr>
      <w:bookmarkStart w:id="564" w:name="_Ref384123555"/>
      <w:bookmarkStart w:id="565" w:name="_Ref384123551"/>
      <w:bookmarkStart w:id="566" w:name="_Ref324332092"/>
      <w:r>
        <w:rPr>
          <w:rFonts w:ascii="Times New Roman" w:hAnsi="Times New Roman"/>
          <w:b w:val="false"/>
          <w:sz w:val="24"/>
          <w:szCs w:val="24"/>
        </w:rPr>
        <w:t>Приложение № 1</w:t>
      </w:r>
      <w:bookmarkEnd w:id="564"/>
      <w:bookmarkEnd w:id="565"/>
      <w:bookmarkEnd w:id="566"/>
    </w:p>
    <w:p>
      <w:pPr>
        <w:pStyle w:val="1"/>
        <w:keepNext w:val="false"/>
        <w:keepLines w:val="false"/>
        <w:pageBreakBefore w:val="false"/>
        <w:numPr>
          <w:ilvl w:val="0"/>
          <w:numId w:val="0"/>
        </w:numPr>
        <w:spacing w:before="480" w:after="0"/>
        <w:ind w:left="1134" w:hanging="1134"/>
        <w:jc w:val="center"/>
        <w:rPr>
          <w:rFonts w:ascii="Times New Roman" w:hAnsi="Times New Roman"/>
          <w:sz w:val="28"/>
          <w:szCs w:val="28"/>
        </w:rPr>
      </w:pPr>
      <w:r>
        <w:rPr>
          <w:rFonts w:ascii="Times New Roman" w:hAnsi="Times New Roman"/>
          <w:sz w:val="28"/>
          <w:szCs w:val="28"/>
        </w:rPr>
        <w:t xml:space="preserve">ТЕХНИЧЕСКИЕ ХАРАКТЕРИСТИКИ И ФОТОГРАФИИ </w:t>
      </w:r>
    </w:p>
    <w:p>
      <w:pPr>
        <w:pStyle w:val="1"/>
        <w:keepNext w:val="false"/>
        <w:keepLines w:val="false"/>
        <w:pageBreakBefore w:val="false"/>
        <w:numPr>
          <w:ilvl w:val="0"/>
          <w:numId w:val="0"/>
        </w:numPr>
        <w:spacing w:before="0" w:after="240"/>
        <w:ind w:left="1134" w:hanging="1134"/>
        <w:jc w:val="center"/>
        <w:rPr>
          <w:rFonts w:ascii="Times New Roman" w:hAnsi="Times New Roman"/>
          <w:sz w:val="28"/>
          <w:szCs w:val="28"/>
        </w:rPr>
      </w:pPr>
      <w:bookmarkStart w:id="567" w:name="_Toc536798429"/>
      <w:r>
        <w:rPr>
          <w:rFonts w:ascii="Times New Roman" w:hAnsi="Times New Roman"/>
          <w:sz w:val="28"/>
          <w:szCs w:val="28"/>
        </w:rPr>
        <w:t>ПРЕДМЕТА ПРОДАЖИ</w:t>
      </w:r>
      <w:bookmarkEnd w:id="567"/>
    </w:p>
    <w:p>
      <w:pPr>
        <w:pStyle w:val="Normal"/>
        <w:spacing w:before="0" w:after="0"/>
        <w:jc w:val="center"/>
        <w:rPr>
          <w:b/>
          <w:b/>
          <w:sz w:val="28"/>
          <w:szCs w:val="28"/>
        </w:rPr>
      </w:pPr>
      <w:r>
        <w:rPr>
          <w:b/>
          <w:sz w:val="28"/>
          <w:szCs w:val="28"/>
        </w:rPr>
        <w:t>Склад смешанных товаров</w:t>
      </w:r>
    </w:p>
    <w:p>
      <w:pPr>
        <w:pStyle w:val="Normal"/>
        <w:spacing w:before="0" w:after="0"/>
        <w:jc w:val="center"/>
        <w:rPr>
          <w:b/>
          <w:b/>
          <w:sz w:val="28"/>
          <w:szCs w:val="28"/>
        </w:rPr>
      </w:pPr>
      <w:r>
        <w:rPr>
          <w:b/>
          <w:sz w:val="28"/>
          <w:szCs w:val="28"/>
        </w:rPr>
        <w:t xml:space="preserve">Площадь - 406,8 кв. м., </w:t>
      </w:r>
    </w:p>
    <w:p>
      <w:pPr>
        <w:pStyle w:val="Normal"/>
        <w:spacing w:before="0" w:after="0"/>
        <w:jc w:val="center"/>
        <w:rPr>
          <w:b/>
          <w:b/>
          <w:sz w:val="28"/>
          <w:szCs w:val="28"/>
        </w:rPr>
      </w:pPr>
      <w:r>
        <w:rPr>
          <w:b/>
          <w:sz w:val="28"/>
          <w:szCs w:val="28"/>
        </w:rPr>
        <w:t>Кадастровый номер - 09:02:0000000:15694.</w:t>
      </w:r>
    </w:p>
    <w:p>
      <w:pPr>
        <w:pStyle w:val="Normal"/>
        <w:spacing w:before="0" w:after="0"/>
        <w:jc w:val="center"/>
        <w:rPr>
          <w:b/>
          <w:b/>
          <w:sz w:val="28"/>
          <w:szCs w:val="28"/>
        </w:rPr>
      </w:pPr>
      <w:r>
        <w:rPr>
          <w:b/>
          <w:sz w:val="28"/>
          <w:szCs w:val="28"/>
        </w:rPr>
        <w:t>Количество этажей – 1</w:t>
      </w:r>
    </w:p>
    <w:p>
      <w:pPr>
        <w:pStyle w:val="Normal"/>
        <w:spacing w:before="0" w:after="0"/>
        <w:jc w:val="center"/>
        <w:rPr>
          <w:b/>
          <w:b/>
          <w:sz w:val="28"/>
          <w:szCs w:val="28"/>
        </w:rPr>
      </w:pPr>
      <w:r>
        <w:rPr>
          <w:b/>
          <w:sz w:val="28"/>
          <w:szCs w:val="28"/>
        </w:rPr>
        <w:t>Назначение: Нежилое здание</w:t>
      </w:r>
    </w:p>
    <w:p>
      <w:pPr>
        <w:pStyle w:val="Normal"/>
        <w:spacing w:before="0" w:after="0"/>
        <w:jc w:val="center"/>
        <w:rPr>
          <w:b/>
          <w:b/>
          <w:sz w:val="28"/>
          <w:szCs w:val="28"/>
        </w:rPr>
      </w:pPr>
      <w:r>
        <w:rPr>
          <w:b/>
          <w:sz w:val="28"/>
          <w:szCs w:val="28"/>
        </w:rPr>
        <w:t>Адрес местонахождения: Карачаево-Черкесская Республика, Прикубанский р-н, п. Ударный, ул. Молодежная, д 11.</w:t>
      </w:r>
    </w:p>
    <w:p>
      <w:pPr>
        <w:pStyle w:val="Normal"/>
        <w:spacing w:before="0" w:after="0"/>
        <w:jc w:val="center"/>
        <w:rPr>
          <w:b/>
          <w:b/>
        </w:rPr>
      </w:pPr>
      <w:r>
        <w:rPr/>
        <w:drawing>
          <wp:inline distT="0" distB="0" distL="0" distR="0">
            <wp:extent cx="4529455" cy="298767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3"/>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8767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4"/>
                    <a:stretch>
                      <a:fillRect/>
                    </a:stretch>
                  </pic:blipFill>
                  <pic:spPr bwMode="auto">
                    <a:xfrm>
                      <a:off x="0" y="0"/>
                      <a:ext cx="4529455" cy="2987675"/>
                    </a:xfrm>
                    <a:prstGeom prst="rect">
                      <a:avLst/>
                    </a:prstGeom>
                  </pic:spPr>
                </pic:pic>
              </a:graphicData>
            </a:graphic>
          </wp:inline>
        </w:drawing>
      </w:r>
      <w:r>
        <w:rPr>
          <w:b/>
        </w:rPr>
        <w:t xml:space="preserve"> </w:t>
      </w:r>
    </w:p>
    <w:p>
      <w:pPr>
        <w:pStyle w:val="Normal"/>
        <w:spacing w:before="0" w:after="0"/>
        <w:jc w:val="center"/>
        <w:rPr>
          <w:b/>
          <w:b/>
        </w:rPr>
      </w:pPr>
      <w:r>
        <w:rPr/>
        <w:drawing>
          <wp:inline distT="0" distB="0" distL="0" distR="0">
            <wp:extent cx="4529455" cy="298767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5"/>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8767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6"/>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drawing>
          <wp:inline distT="0" distB="0" distL="0" distR="0">
            <wp:extent cx="4529455" cy="298767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7"/>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87675"/>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pic:cNvPicPr>
                      <a:picLocks noChangeAspect="1" noChangeArrowheads="1"/>
                    </pic:cNvPicPr>
                  </pic:nvPicPr>
                  <pic:blipFill>
                    <a:blip r:embed="rId8"/>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88163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pic:cNvPicPr>
                      <a:picLocks noChangeAspect="1" noChangeArrowheads="1"/>
                    </pic:cNvPicPr>
                  </pic:nvPicPr>
                  <pic:blipFill>
                    <a:blip r:embed="rId9"/>
                    <a:stretch>
                      <a:fillRect/>
                    </a:stretch>
                  </pic:blipFill>
                  <pic:spPr bwMode="auto">
                    <a:xfrm>
                      <a:off x="0" y="0"/>
                      <a:ext cx="4529455" cy="2881630"/>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55925"/>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pic:cNvPicPr>
                      <a:picLocks noChangeAspect="1" noChangeArrowheads="1"/>
                    </pic:cNvPicPr>
                  </pic:nvPicPr>
                  <pic:blipFill>
                    <a:blip r:embed="rId10"/>
                    <a:stretch>
                      <a:fillRect/>
                    </a:stretch>
                  </pic:blipFill>
                  <pic:spPr bwMode="auto">
                    <a:xfrm>
                      <a:off x="0" y="0"/>
                      <a:ext cx="4529455" cy="2955925"/>
                    </a:xfrm>
                    <a:prstGeom prst="rect">
                      <a:avLst/>
                    </a:prstGeom>
                  </pic:spPr>
                </pic:pic>
              </a:graphicData>
            </a:graphic>
          </wp:inline>
        </w:drawing>
      </w:r>
    </w:p>
    <w:p>
      <w:pPr>
        <w:pStyle w:val="Normal"/>
        <w:spacing w:before="0" w:after="0"/>
        <w:jc w:val="center"/>
        <w:rPr>
          <w:b/>
          <w:b/>
        </w:rPr>
      </w:pPr>
      <w:r>
        <w:rPr/>
        <w:drawing>
          <wp:inline distT="0" distB="0" distL="0" distR="0">
            <wp:extent cx="3381375" cy="508254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
                    <pic:cNvPicPr>
                      <a:picLocks noChangeAspect="1" noChangeArrowheads="1"/>
                    </pic:cNvPicPr>
                  </pic:nvPicPr>
                  <pic:blipFill>
                    <a:blip r:embed="rId11"/>
                    <a:stretch>
                      <a:fillRect/>
                    </a:stretch>
                  </pic:blipFill>
                  <pic:spPr bwMode="auto">
                    <a:xfrm>
                      <a:off x="0" y="0"/>
                      <a:ext cx="3381375" cy="5082540"/>
                    </a:xfrm>
                    <a:prstGeom prst="rect">
                      <a:avLst/>
                    </a:prstGeom>
                  </pic:spPr>
                </pic:pic>
              </a:graphicData>
            </a:graphic>
          </wp:inline>
        </w:drawing>
      </w:r>
    </w:p>
    <w:p>
      <w:pPr>
        <w:pStyle w:val="Normal"/>
        <w:spacing w:before="0" w:after="0"/>
        <w:jc w:val="center"/>
        <w:rPr>
          <w:b/>
          <w:b/>
        </w:rPr>
      </w:pPr>
      <w:r>
        <w:rPr/>
        <w:drawing>
          <wp:inline distT="0" distB="0" distL="0" distR="0">
            <wp:extent cx="3381375" cy="508254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
                    <pic:cNvPicPr>
                      <a:picLocks noChangeAspect="1" noChangeArrowheads="1"/>
                    </pic:cNvPicPr>
                  </pic:nvPicPr>
                  <pic:blipFill>
                    <a:blip r:embed="rId12"/>
                    <a:stretch>
                      <a:fillRect/>
                    </a:stretch>
                  </pic:blipFill>
                  <pic:spPr bwMode="auto">
                    <a:xfrm>
                      <a:off x="0" y="0"/>
                      <a:ext cx="3381375" cy="5082540"/>
                    </a:xfrm>
                    <a:prstGeom prst="rect">
                      <a:avLst/>
                    </a:prstGeom>
                  </pic:spPr>
                </pic:pic>
              </a:graphicData>
            </a:graphic>
          </wp:inline>
        </w:drawing>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r>
    </w:p>
    <w:p>
      <w:pPr>
        <w:pStyle w:val="Normal"/>
        <w:spacing w:before="0" w:after="0"/>
        <w:jc w:val="center"/>
        <w:rPr>
          <w:b/>
          <w:b/>
          <w:bCs/>
        </w:rPr>
      </w:pPr>
      <w:r>
        <w:rPr>
          <w:b/>
          <w:bCs/>
        </w:rPr>
        <w:t>Часть здания – склад</w:t>
      </w:r>
    </w:p>
    <w:p>
      <w:pPr>
        <w:pStyle w:val="Normal"/>
        <w:spacing w:before="0" w:after="0"/>
        <w:jc w:val="center"/>
        <w:rPr>
          <w:b/>
          <w:b/>
          <w:bCs/>
        </w:rPr>
      </w:pPr>
      <w:r>
        <w:rPr>
          <w:b/>
          <w:bCs/>
        </w:rPr>
        <w:t>Площадь – 22,9 кв. м.</w:t>
      </w:r>
    </w:p>
    <w:p>
      <w:pPr>
        <w:pStyle w:val="Normal"/>
        <w:spacing w:before="0" w:after="0"/>
        <w:jc w:val="center"/>
        <w:rPr>
          <w:b/>
          <w:b/>
          <w:bCs/>
        </w:rPr>
      </w:pPr>
      <w:r>
        <w:rPr>
          <w:b/>
          <w:bCs/>
        </w:rPr>
        <w:t>Кадастровый номер – 09:02:0310101:592.</w:t>
      </w:r>
    </w:p>
    <w:p>
      <w:pPr>
        <w:pStyle w:val="Normal"/>
        <w:spacing w:before="0" w:after="0"/>
        <w:jc w:val="center"/>
        <w:rPr>
          <w:b/>
          <w:b/>
          <w:bCs/>
        </w:rPr>
      </w:pPr>
      <w:r>
        <w:rPr>
          <w:b/>
          <w:bCs/>
        </w:rPr>
        <w:t>Количество этажей – 1</w:t>
      </w:r>
    </w:p>
    <w:p>
      <w:pPr>
        <w:pStyle w:val="Normal"/>
        <w:spacing w:before="0" w:after="0"/>
        <w:jc w:val="center"/>
        <w:rPr>
          <w:b/>
          <w:b/>
          <w:bCs/>
        </w:rPr>
      </w:pPr>
      <w:r>
        <w:rPr>
          <w:b/>
          <w:bCs/>
        </w:rPr>
        <w:t>Назначение: Нежилое здание</w:t>
      </w:r>
    </w:p>
    <w:p>
      <w:pPr>
        <w:pStyle w:val="Normal"/>
        <w:spacing w:before="0" w:after="0"/>
        <w:jc w:val="center"/>
        <w:rPr>
          <w:b/>
          <w:b/>
        </w:rPr>
      </w:pPr>
      <w:r>
        <w:rPr>
          <w:b/>
          <w:bCs/>
        </w:rPr>
        <w:t>Адрес местонахождения: Карачаево-Черкесская Республика, Прикубанский р-н, п. Ударный, ул. Молодежная, д 11.</w:t>
      </w:r>
    </w:p>
    <w:p>
      <w:pPr>
        <w:pStyle w:val="Normal"/>
        <w:spacing w:before="0" w:after="0"/>
        <w:jc w:val="center"/>
        <w:rPr>
          <w:b/>
          <w:b/>
        </w:rPr>
      </w:pPr>
      <w:r>
        <w:rPr/>
        <w:drawing>
          <wp:inline distT="0" distB="0" distL="0" distR="0">
            <wp:extent cx="4529455" cy="2987675"/>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
                    <pic:cNvPicPr>
                      <a:picLocks noChangeAspect="1" noChangeArrowheads="1"/>
                    </pic:cNvPicPr>
                  </pic:nvPicPr>
                  <pic:blipFill>
                    <a:blip r:embed="rId13"/>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4529455" cy="2987675"/>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
                    <pic:cNvPicPr>
                      <a:picLocks noChangeAspect="1" noChangeArrowheads="1"/>
                    </pic:cNvPicPr>
                  </pic:nvPicPr>
                  <pic:blipFill>
                    <a:blip r:embed="rId14"/>
                    <a:stretch>
                      <a:fillRect/>
                    </a:stretch>
                  </pic:blipFill>
                  <pic:spPr bwMode="auto">
                    <a:xfrm>
                      <a:off x="0" y="0"/>
                      <a:ext cx="4529455" cy="2987675"/>
                    </a:xfrm>
                    <a:prstGeom prst="rect">
                      <a:avLst/>
                    </a:prstGeom>
                  </pic:spPr>
                </pic:pic>
              </a:graphicData>
            </a:graphic>
          </wp:inline>
        </w:drawing>
      </w:r>
    </w:p>
    <w:p>
      <w:pPr>
        <w:pStyle w:val="Normal"/>
        <w:spacing w:before="0" w:after="0"/>
        <w:jc w:val="center"/>
        <w:rPr>
          <w:b/>
          <w:b/>
        </w:rPr>
      </w:pPr>
      <w:r>
        <w:rPr>
          <w:b/>
        </w:rPr>
      </w:r>
    </w:p>
    <w:p>
      <w:pPr>
        <w:pStyle w:val="Normal"/>
        <w:spacing w:before="0" w:after="0"/>
        <w:jc w:val="center"/>
        <w:rPr>
          <w:b/>
          <w:b/>
        </w:rPr>
      </w:pPr>
      <w:r>
        <w:rPr/>
        <w:drawing>
          <wp:inline distT="0" distB="0" distL="0" distR="0">
            <wp:extent cx="3381375" cy="508254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
                    <pic:cNvPicPr>
                      <a:picLocks noChangeAspect="1" noChangeArrowheads="1"/>
                    </pic:cNvPicPr>
                  </pic:nvPicPr>
                  <pic:blipFill>
                    <a:blip r:embed="rId15"/>
                    <a:stretch>
                      <a:fillRect/>
                    </a:stretch>
                  </pic:blipFill>
                  <pic:spPr bwMode="auto">
                    <a:xfrm>
                      <a:off x="0" y="0"/>
                      <a:ext cx="3381375" cy="5082540"/>
                    </a:xfrm>
                    <a:prstGeom prst="rect">
                      <a:avLst/>
                    </a:prstGeom>
                  </pic:spPr>
                </pic:pic>
              </a:graphicData>
            </a:graphic>
          </wp:inline>
        </w:drawing>
      </w:r>
    </w:p>
    <w:p>
      <w:pPr>
        <w:pStyle w:val="Normal"/>
        <w:rPr/>
      </w:pPr>
      <w:r>
        <w:rPr/>
      </w:r>
    </w:p>
    <w:p>
      <w:pPr>
        <w:pStyle w:val="Normal"/>
        <w:rPr/>
      </w:pPr>
      <w:r>
        <w:rPr/>
      </w:r>
    </w:p>
    <w:p>
      <w:pPr>
        <w:pStyle w:val="1"/>
        <w:numPr>
          <w:ilvl w:val="0"/>
          <w:numId w:val="0"/>
        </w:numPr>
        <w:ind w:left="1134" w:hanging="0"/>
        <w:jc w:val="right"/>
        <w:rPr>
          <w:rFonts w:ascii="Times New Roman" w:hAnsi="Times New Roman"/>
          <w:b w:val="false"/>
          <w:b w:val="false"/>
          <w:sz w:val="24"/>
          <w:szCs w:val="24"/>
        </w:rPr>
      </w:pPr>
      <w:bookmarkStart w:id="568" w:name="_Toc536798431"/>
      <w:bookmarkStart w:id="569" w:name="_Ref324342826"/>
      <w:bookmarkStart w:id="570" w:name="_Ref324342543"/>
      <w:bookmarkStart w:id="571" w:name="_Ref324341734"/>
      <w:bookmarkStart w:id="572" w:name="_Ref324332106"/>
      <w:r>
        <w:rPr>
          <w:rFonts w:ascii="Times New Roman" w:hAnsi="Times New Roman"/>
          <w:b w:val="false"/>
          <w:sz w:val="24"/>
          <w:szCs w:val="24"/>
        </w:rPr>
        <w:t>Приложение № 2</w:t>
      </w:r>
    </w:p>
    <w:p>
      <w:pPr>
        <w:pStyle w:val="1"/>
        <w:keepNext w:val="false"/>
        <w:keepLines w:val="false"/>
        <w:pageBreakBefore w:val="false"/>
        <w:numPr>
          <w:ilvl w:val="0"/>
          <w:numId w:val="0"/>
        </w:numPr>
        <w:ind w:left="1134" w:hanging="0"/>
        <w:jc w:val="center"/>
        <w:rPr>
          <w:rFonts w:ascii="Times New Roman" w:hAnsi="Times New Roman"/>
          <w:sz w:val="28"/>
          <w:szCs w:val="28"/>
        </w:rPr>
      </w:pPr>
      <w:bookmarkStart w:id="573" w:name="_Toc536798431"/>
      <w:bookmarkStart w:id="574" w:name="_Ref324342826"/>
      <w:bookmarkStart w:id="575" w:name="_Ref324342543"/>
      <w:bookmarkStart w:id="576" w:name="_Ref324341734"/>
      <w:bookmarkStart w:id="577" w:name="_Ref324332106"/>
      <w:r>
        <w:rPr>
          <w:rFonts w:ascii="Times New Roman" w:hAnsi="Times New Roman"/>
          <w:sz w:val="28"/>
          <w:szCs w:val="28"/>
        </w:rPr>
        <w:t>ПРОЕКТ ДОГОВОРА</w:t>
      </w:r>
      <w:bookmarkEnd w:id="573"/>
      <w:bookmarkEnd w:id="574"/>
      <w:bookmarkEnd w:id="575"/>
      <w:bookmarkEnd w:id="576"/>
      <w:bookmarkEnd w:id="577"/>
      <w:r>
        <w:rPr>
          <w:rFonts w:ascii="Times New Roman" w:hAnsi="Times New Roman"/>
          <w:sz w:val="28"/>
          <w:szCs w:val="28"/>
        </w:rPr>
        <w:t xml:space="preserve"> КУПЛИ-ПРОДАЖИ</w:t>
      </w:r>
    </w:p>
    <w:p>
      <w:pPr>
        <w:pStyle w:val="2"/>
        <w:keepNext w:val="false"/>
        <w:numPr>
          <w:ilvl w:val="0"/>
          <w:numId w:val="0"/>
        </w:numPr>
        <w:ind w:left="0" w:hanging="0"/>
        <w:rPr>
          <w:b w:val="false"/>
          <w:b w:val="false"/>
          <w:sz w:val="26"/>
        </w:rPr>
      </w:pPr>
      <w:bookmarkStart w:id="578" w:name="_Toc536798432"/>
      <w:bookmarkStart w:id="579" w:name="_Toc515887606"/>
      <w:bookmarkStart w:id="580" w:name="_Toc515659386"/>
      <w:bookmarkStart w:id="581" w:name="_Toc514814127"/>
      <w:bookmarkStart w:id="582" w:name="_Toc514805482"/>
      <w:r>
        <w:rPr>
          <w:b w:val="false"/>
          <w:sz w:val="26"/>
        </w:rPr>
        <w:t>Пояснения к проекту договора</w:t>
      </w:r>
      <w:bookmarkEnd w:id="578"/>
      <w:bookmarkEnd w:id="579"/>
      <w:bookmarkEnd w:id="580"/>
      <w:bookmarkEnd w:id="581"/>
      <w:bookmarkEnd w:id="582"/>
      <w:r>
        <w:rPr>
          <w:b w:val="false"/>
          <w:sz w:val="26"/>
        </w:rPr>
        <w:t xml:space="preserve"> купли-продажи:</w:t>
      </w:r>
    </w:p>
    <w:p>
      <w:pPr>
        <w:pStyle w:val="Style37"/>
        <w:numPr>
          <w:ilvl w:val="0"/>
          <w:numId w:val="0"/>
        </w:numPr>
        <w:ind w:left="0" w:hanging="0"/>
        <w:rPr/>
      </w:pPr>
      <w:r>
        <w:rPr/>
        <w:t>-</w:t>
        <w:tab/>
        <w:t>Все положения настоящего проекта Договора являются существенными условиями для Продавца;</w:t>
      </w:r>
    </w:p>
    <w:p>
      <w:pPr>
        <w:pStyle w:val="Style37"/>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37"/>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они будут обязаны подписать Договор на условиях, изложенных в Документации.</w:t>
      </w:r>
    </w:p>
    <w:p>
      <w:pPr>
        <w:pStyle w:val="Style37"/>
        <w:numPr>
          <w:ilvl w:val="0"/>
          <w:numId w:val="0"/>
        </w:numPr>
        <w:ind w:left="0" w:hanging="0"/>
        <w:rPr/>
      </w:pPr>
      <w:r>
        <w:rPr/>
      </w:r>
    </w:p>
    <w:p>
      <w:pPr>
        <w:pStyle w:val="Normal"/>
        <w:jc w:val="center"/>
        <w:rPr>
          <w:b/>
          <w:b/>
          <w:sz w:val="28"/>
          <w:szCs w:val="28"/>
        </w:rPr>
      </w:pPr>
      <w:r>
        <w:rPr>
          <w:b/>
          <w:sz w:val="28"/>
          <w:szCs w:val="28"/>
        </w:rPr>
        <w:t xml:space="preserve">Договор купли-продажи </w:t>
      </w:r>
    </w:p>
    <w:p>
      <w:pPr>
        <w:pStyle w:val="Normal"/>
        <w:jc w:val="center"/>
        <w:rPr>
          <w:b/>
          <w:b/>
          <w:sz w:val="28"/>
          <w:szCs w:val="28"/>
        </w:rPr>
      </w:pPr>
      <w:r>
        <w:rPr>
          <w:b/>
          <w:sz w:val="28"/>
          <w:szCs w:val="28"/>
        </w:rPr>
        <w:t xml:space="preserve">№ </w:t>
      </w:r>
      <w:r>
        <w:rPr>
          <w:b/>
          <w:sz w:val="28"/>
          <w:szCs w:val="28"/>
        </w:rPr>
        <w:t>___________________</w:t>
      </w:r>
    </w:p>
    <w:p>
      <w:pPr>
        <w:pStyle w:val="Normal"/>
        <w:jc w:val="center"/>
        <w:rPr>
          <w:sz w:val="28"/>
          <w:szCs w:val="28"/>
        </w:rPr>
      </w:pPr>
      <w:r>
        <w:rPr>
          <w:sz w:val="28"/>
          <w:szCs w:val="28"/>
        </w:rPr>
      </w:r>
    </w:p>
    <w:p>
      <w:pPr>
        <w:pStyle w:val="Normal"/>
        <w:tabs>
          <w:tab w:val="clear" w:pos="567"/>
          <w:tab w:val="left" w:pos="6237" w:leader="none"/>
        </w:tabs>
        <w:rPr>
          <w:sz w:val="28"/>
          <w:szCs w:val="28"/>
        </w:rPr>
      </w:pPr>
      <w:r>
        <w:rPr>
          <w:sz w:val="28"/>
          <w:szCs w:val="28"/>
        </w:rPr>
        <w:t xml:space="preserve">г. Невинномысск </w:t>
        <w:tab/>
        <w:t xml:space="preserve"> «____» ___________2022г.</w:t>
      </w:r>
    </w:p>
    <w:p>
      <w:pPr>
        <w:pStyle w:val="Normal"/>
        <w:rPr>
          <w:sz w:val="28"/>
          <w:szCs w:val="28"/>
        </w:rPr>
      </w:pPr>
      <w:r>
        <w:rPr>
          <w:sz w:val="28"/>
          <w:szCs w:val="28"/>
        </w:rPr>
      </w:r>
    </w:p>
    <w:p>
      <w:pPr>
        <w:pStyle w:val="Normal"/>
        <w:ind w:firstLine="709"/>
        <w:rPr>
          <w:sz w:val="28"/>
          <w:szCs w:val="28"/>
        </w:rPr>
      </w:pPr>
      <w:r>
        <w:rPr>
          <w:b/>
          <w:sz w:val="28"/>
          <w:szCs w:val="28"/>
        </w:rPr>
        <w:t>Публичное акционерное общество «Федеральная гидрогенерирующая компания – РусГидро» (ПАО «РусГидро»)</w:t>
      </w:r>
      <w:r>
        <w:rPr>
          <w:sz w:val="28"/>
          <w:szCs w:val="28"/>
        </w:rPr>
        <w:t>, именуемое в дальнейшем «Продавец», в лице _________________, действующего на основании ________________, с одной стороны, и</w:t>
      </w:r>
    </w:p>
    <w:p>
      <w:pPr>
        <w:pStyle w:val="Normal"/>
        <w:ind w:firstLine="709"/>
        <w:rPr>
          <w:sz w:val="28"/>
          <w:szCs w:val="28"/>
        </w:rPr>
      </w:pPr>
      <w:r>
        <w:rPr>
          <w:b/>
          <w:sz w:val="28"/>
          <w:szCs w:val="28"/>
        </w:rPr>
        <w:t>_________________________________________________________________ (___________________)</w:t>
      </w:r>
      <w:r>
        <w:rPr>
          <w:sz w:val="28"/>
          <w:szCs w:val="28"/>
        </w:rPr>
        <w:t>, именуемое дальнейшем «Покупатель», в лице __________________________, действующего на основании _________________, с другой стороны,</w:t>
      </w:r>
    </w:p>
    <w:p>
      <w:pPr>
        <w:pStyle w:val="Normal"/>
        <w:ind w:firstLine="709"/>
        <w:rPr>
          <w:sz w:val="28"/>
          <w:szCs w:val="28"/>
        </w:rPr>
      </w:pPr>
      <w:r>
        <w:rPr>
          <w:sz w:val="28"/>
          <w:szCs w:val="28"/>
        </w:rPr>
        <w:t>далее совместно именуемые «Стороны», заключили настоящий договор</w:t>
      </w:r>
      <w:r>
        <w:rPr>
          <w:b/>
          <w:sz w:val="28"/>
          <w:szCs w:val="28"/>
        </w:rPr>
        <w:t xml:space="preserve"> </w:t>
      </w:r>
      <w:r>
        <w:rPr>
          <w:sz w:val="28"/>
          <w:szCs w:val="28"/>
        </w:rPr>
        <w:t>купли-продажи (далее – «Договор») о нижеследующем:</w:t>
      </w:r>
    </w:p>
    <w:p>
      <w:pPr>
        <w:pStyle w:val="Normal"/>
        <w:ind w:firstLine="709"/>
        <w:rPr>
          <w:sz w:val="28"/>
          <w:szCs w:val="28"/>
        </w:rPr>
      </w:pPr>
      <w:r>
        <w:rPr>
          <w:sz w:val="28"/>
          <w:szCs w:val="28"/>
        </w:rPr>
      </w:r>
    </w:p>
    <w:p>
      <w:pPr>
        <w:pStyle w:val="Normal"/>
        <w:widowControl w:val="false"/>
        <w:numPr>
          <w:ilvl w:val="0"/>
          <w:numId w:val="19"/>
        </w:numPr>
        <w:tabs>
          <w:tab w:val="clear" w:pos="567"/>
          <w:tab w:val="left" w:pos="284" w:leader="none"/>
        </w:tabs>
        <w:spacing w:before="120" w:after="120"/>
        <w:ind w:left="0" w:hanging="0"/>
        <w:jc w:val="center"/>
        <w:rPr>
          <w:b/>
          <w:b/>
          <w:sz w:val="28"/>
          <w:szCs w:val="28"/>
        </w:rPr>
      </w:pPr>
      <w:r>
        <w:rPr>
          <w:b/>
          <w:sz w:val="28"/>
          <w:szCs w:val="28"/>
        </w:rPr>
        <w:t>ПРЕДМЕТ ДОГОВОРА</w:t>
      </w:r>
    </w:p>
    <w:p>
      <w:pPr>
        <w:pStyle w:val="Normal"/>
        <w:widowControl w:val="false"/>
        <w:numPr>
          <w:ilvl w:val="1"/>
          <w:numId w:val="19"/>
        </w:numPr>
        <w:spacing w:before="0" w:after="0"/>
        <w:ind w:left="0" w:firstLine="709"/>
        <w:rPr>
          <w:sz w:val="28"/>
          <w:szCs w:val="28"/>
        </w:rPr>
      </w:pPr>
      <w:r>
        <w:rPr>
          <w:sz w:val="28"/>
          <w:szCs w:val="28"/>
        </w:rPr>
        <w:t>Продавец обязуется передать в собственность Покупателя, недвижимое Имущество, указанное в Приложении № 1 к Договору (далее – «Имущество»), а Покупатель обязуется принять и оплатить Имущество.</w:t>
      </w:r>
    </w:p>
    <w:p>
      <w:pPr>
        <w:pStyle w:val="Normal"/>
        <w:widowControl w:val="false"/>
        <w:numPr>
          <w:ilvl w:val="1"/>
          <w:numId w:val="19"/>
        </w:numPr>
        <w:spacing w:before="0" w:after="0"/>
        <w:ind w:left="0" w:firstLine="709"/>
        <w:rPr>
          <w:sz w:val="28"/>
          <w:szCs w:val="28"/>
        </w:rPr>
      </w:pPr>
      <w:r>
        <w:rPr>
          <w:sz w:val="28"/>
          <w:szCs w:val="28"/>
        </w:rPr>
        <w:t xml:space="preserve">На дату заключения Договора Имущество принадлежит Продавцу на праве собственности, что подтверждается соответствующими записями регистрации в Едином государственном реестре недвижимости (Приложение № 1 к Договору). </w:t>
      </w:r>
    </w:p>
    <w:p>
      <w:pPr>
        <w:pStyle w:val="Normal"/>
        <w:widowControl w:val="false"/>
        <w:numPr>
          <w:ilvl w:val="1"/>
          <w:numId w:val="19"/>
        </w:numPr>
        <w:spacing w:before="0" w:after="0"/>
        <w:ind w:left="0" w:firstLine="709"/>
        <w:rPr>
          <w:sz w:val="28"/>
          <w:szCs w:val="28"/>
        </w:rPr>
      </w:pPr>
      <w:r>
        <w:rPr>
          <w:sz w:val="28"/>
          <w:szCs w:val="28"/>
        </w:rPr>
        <w:t>Продавец гарантирует, что на дату заключения Договора Имущество не продано, не заложено, не является предметом спора, не находится под арестом и свободно от любых прав третьих лиц.</w:t>
      </w:r>
    </w:p>
    <w:p>
      <w:pPr>
        <w:pStyle w:val="Normal"/>
        <w:widowControl w:val="false"/>
        <w:numPr>
          <w:ilvl w:val="1"/>
          <w:numId w:val="19"/>
        </w:numPr>
        <w:spacing w:before="0" w:after="0"/>
        <w:ind w:left="0" w:firstLine="709"/>
        <w:rPr>
          <w:sz w:val="28"/>
          <w:szCs w:val="28"/>
        </w:rPr>
      </w:pPr>
      <w:r>
        <w:rPr>
          <w:sz w:val="28"/>
          <w:szCs w:val="28"/>
        </w:rPr>
        <w:t>Право собственности на Имущество у Покупателя возникает с даты государственной регистрации перехода права собственности от Продавца к Покупателю в Едином государственном реестре недвижимости;</w:t>
      </w:r>
    </w:p>
    <w:p>
      <w:pPr>
        <w:pStyle w:val="Normal"/>
        <w:widowControl w:val="false"/>
        <w:numPr>
          <w:ilvl w:val="1"/>
          <w:numId w:val="19"/>
        </w:numPr>
        <w:spacing w:before="0" w:after="0"/>
        <w:ind w:left="0" w:firstLine="709"/>
        <w:rPr>
          <w:sz w:val="28"/>
          <w:szCs w:val="28"/>
        </w:rPr>
      </w:pPr>
      <w:r>
        <w:rPr>
          <w:sz w:val="28"/>
          <w:szCs w:val="28"/>
        </w:rPr>
        <w:t>Имущество расположено на земельном участке с кадастровым номером 09:02:0310101:10 площадью 1 454 кв. м. Категория земель – Земли населённых пунктов. Виды разрешенного использования: Под коммунально-складские объекты. Местоположение: Местоположение установлено относительно ориентира, расположенного в границах участка. Почтовый адрес ориентира: Карачаево-Черкесская Республика, р-н. Прикубанский, пгт. Ударный, ул. Молодежная. Земельный участок принадлежит Продавцу на праве аренды на основании договора Договор аренды № 98 находящегося в государственной собственности земельного участка от 01.11.2008. Номер государственной регистрации 09-09-01/075/2009-509 от 03.11.2009.</w:t>
      </w:r>
    </w:p>
    <w:p>
      <w:pPr>
        <w:pStyle w:val="Normal"/>
        <w:widowControl w:val="false"/>
        <w:numPr>
          <w:ilvl w:val="1"/>
          <w:numId w:val="19"/>
        </w:numPr>
        <w:spacing w:before="0" w:after="0"/>
        <w:ind w:left="0" w:firstLine="709"/>
        <w:rPr>
          <w:sz w:val="28"/>
          <w:szCs w:val="28"/>
        </w:rPr>
      </w:pPr>
      <w:r>
        <w:rPr>
          <w:sz w:val="28"/>
          <w:szCs w:val="28"/>
        </w:rPr>
        <w:t xml:space="preserve"> </w:t>
      </w:r>
      <w:r>
        <w:rPr>
          <w:sz w:val="28"/>
          <w:szCs w:val="28"/>
        </w:rPr>
        <w:t>Продажа Имущества осуществляется Продавцом на основании Протокола о результатах Процедуры по продаже имущественного актива ПАО «РусГидро» № ___ от _______________ года.</w:t>
      </w:r>
    </w:p>
    <w:p>
      <w:pPr>
        <w:pStyle w:val="Normal"/>
        <w:widowControl w:val="false"/>
        <w:numPr>
          <w:ilvl w:val="1"/>
          <w:numId w:val="19"/>
        </w:numPr>
        <w:spacing w:before="0" w:after="0"/>
        <w:ind w:left="0" w:firstLine="709"/>
        <w:rPr>
          <w:sz w:val="28"/>
          <w:szCs w:val="28"/>
        </w:rPr>
      </w:pPr>
      <w:r>
        <w:rPr>
          <w:sz w:val="28"/>
          <w:szCs w:val="28"/>
        </w:rPr>
        <w:t>Состояние Имущества и степень его пригодности к использованию на дату заключения настоящего Договора Покупателю известны.</w:t>
      </w:r>
    </w:p>
    <w:p>
      <w:pPr>
        <w:pStyle w:val="Normal"/>
        <w:rPr>
          <w:sz w:val="28"/>
          <w:szCs w:val="28"/>
        </w:rPr>
      </w:pPr>
      <w:r>
        <w:rPr>
          <w:sz w:val="28"/>
          <w:szCs w:val="28"/>
        </w:rPr>
      </w:r>
    </w:p>
    <w:p>
      <w:pPr>
        <w:pStyle w:val="Normal"/>
        <w:widowControl w:val="false"/>
        <w:numPr>
          <w:ilvl w:val="0"/>
          <w:numId w:val="19"/>
        </w:numPr>
        <w:tabs>
          <w:tab w:val="clear" w:pos="567"/>
          <w:tab w:val="left" w:pos="284" w:leader="none"/>
        </w:tabs>
        <w:spacing w:before="120" w:after="120"/>
        <w:ind w:left="0" w:hanging="0"/>
        <w:jc w:val="center"/>
        <w:rPr>
          <w:b/>
          <w:b/>
          <w:sz w:val="28"/>
          <w:szCs w:val="28"/>
        </w:rPr>
      </w:pPr>
      <w:r>
        <w:rPr>
          <w:b/>
          <w:sz w:val="28"/>
          <w:szCs w:val="28"/>
        </w:rPr>
        <w:t>ЦЕНА И ПОРЯДОК ОПЛАТЫ</w:t>
      </w:r>
    </w:p>
    <w:p>
      <w:pPr>
        <w:pStyle w:val="Normal"/>
        <w:widowControl w:val="false"/>
        <w:numPr>
          <w:ilvl w:val="1"/>
          <w:numId w:val="19"/>
        </w:numPr>
        <w:spacing w:before="0" w:after="0"/>
        <w:ind w:left="0" w:firstLine="709"/>
        <w:rPr>
          <w:sz w:val="28"/>
          <w:szCs w:val="28"/>
        </w:rPr>
      </w:pPr>
      <w:r>
        <w:rPr>
          <w:sz w:val="28"/>
          <w:szCs w:val="28"/>
        </w:rPr>
        <w:t>В соответствии с Протоколом о результатах Процедуры по продаже имущественного актива № _____ от ___________ года, цена Имущества составляет __________ (_____________) рублей. НДС исчисляется дополнительно по ставке установленной ст. 164 Налогового кодекса Российской Федерации. Стоимость Имущества за единицу, указана в Приложении № 1 к Договору.</w:t>
      </w:r>
    </w:p>
    <w:p>
      <w:pPr>
        <w:pStyle w:val="Normal"/>
        <w:widowControl w:val="false"/>
        <w:numPr>
          <w:ilvl w:val="1"/>
          <w:numId w:val="19"/>
        </w:numPr>
        <w:spacing w:before="0" w:after="0"/>
        <w:ind w:left="0" w:firstLine="709"/>
        <w:rPr>
          <w:sz w:val="28"/>
          <w:szCs w:val="28"/>
        </w:rPr>
      </w:pPr>
      <w:r>
        <w:rPr>
          <w:sz w:val="28"/>
          <w:szCs w:val="28"/>
        </w:rPr>
        <w:t>Расчеты по Договору производятся путем:</w:t>
      </w:r>
    </w:p>
    <w:p>
      <w:pPr>
        <w:pStyle w:val="Normal"/>
        <w:widowControl w:val="false"/>
        <w:numPr>
          <w:ilvl w:val="2"/>
          <w:numId w:val="19"/>
        </w:numPr>
        <w:spacing w:before="0" w:after="0"/>
        <w:ind w:left="0" w:firstLine="709"/>
        <w:rPr>
          <w:sz w:val="28"/>
          <w:szCs w:val="28"/>
        </w:rPr>
      </w:pPr>
      <w:r>
        <w:rPr>
          <w:sz w:val="28"/>
          <w:szCs w:val="28"/>
        </w:rPr>
        <w:t>Перечисления денежных средств на расчетный счет Продавца, указанный в разделе 9 настоящего Договора.</w:t>
      </w:r>
    </w:p>
    <w:p>
      <w:pPr>
        <w:pStyle w:val="Normal"/>
        <w:widowControl w:val="false"/>
        <w:numPr>
          <w:ilvl w:val="2"/>
          <w:numId w:val="19"/>
        </w:numPr>
        <w:spacing w:before="0" w:after="0"/>
        <w:ind w:left="0" w:firstLine="709"/>
        <w:rPr>
          <w:sz w:val="28"/>
          <w:szCs w:val="28"/>
        </w:rPr>
      </w:pPr>
      <w:r>
        <w:rPr>
          <w:sz w:val="28"/>
          <w:szCs w:val="28"/>
        </w:rPr>
        <w:t>В срок, не превышающий 10 календарных дней с даты подписания настоящего Договора Сторонами. Датой оплаты является дата зачисления денежных средств на расчетный счет Продавца</w:t>
      </w:r>
    </w:p>
    <w:p>
      <w:pPr>
        <w:pStyle w:val="Normal"/>
        <w:widowControl w:val="false"/>
        <w:numPr>
          <w:ilvl w:val="2"/>
          <w:numId w:val="19"/>
        </w:numPr>
        <w:spacing w:before="0" w:after="0"/>
        <w:ind w:left="0" w:firstLine="709"/>
        <w:rPr>
          <w:sz w:val="28"/>
          <w:szCs w:val="28"/>
        </w:rPr>
      </w:pPr>
      <w:r>
        <w:rPr>
          <w:sz w:val="28"/>
          <w:szCs w:val="28"/>
        </w:rPr>
        <w:t>Расчеты по Договору осуществляться в валюте Российской Федерации.</w:t>
      </w:r>
    </w:p>
    <w:p>
      <w:pPr>
        <w:pStyle w:val="Normal"/>
        <w:widowControl w:val="false"/>
        <w:numPr>
          <w:ilvl w:val="1"/>
          <w:numId w:val="19"/>
        </w:numPr>
        <w:spacing w:before="0" w:after="0"/>
        <w:ind w:left="0" w:firstLine="709"/>
        <w:rPr>
          <w:sz w:val="28"/>
          <w:szCs w:val="28"/>
        </w:rPr>
      </w:pPr>
      <w:r>
        <w:rPr>
          <w:sz w:val="28"/>
          <w:szCs w:val="28"/>
        </w:rPr>
        <w:t>Индексация Стоимости Имущества по Договору не допускается.</w:t>
      </w:r>
    </w:p>
    <w:p>
      <w:pPr>
        <w:pStyle w:val="Normal"/>
        <w:ind w:left="709" w:hanging="0"/>
        <w:rPr>
          <w:sz w:val="28"/>
          <w:szCs w:val="28"/>
        </w:rPr>
      </w:pPr>
      <w:r>
        <w:rPr>
          <w:sz w:val="28"/>
          <w:szCs w:val="28"/>
        </w:rPr>
      </w:r>
    </w:p>
    <w:p>
      <w:pPr>
        <w:pStyle w:val="Normal"/>
        <w:widowControl w:val="false"/>
        <w:numPr>
          <w:ilvl w:val="0"/>
          <w:numId w:val="19"/>
        </w:numPr>
        <w:tabs>
          <w:tab w:val="clear" w:pos="567"/>
          <w:tab w:val="left" w:pos="284" w:leader="none"/>
        </w:tabs>
        <w:spacing w:before="120" w:after="120"/>
        <w:ind w:left="0" w:hanging="0"/>
        <w:jc w:val="center"/>
        <w:rPr>
          <w:b/>
          <w:b/>
          <w:sz w:val="28"/>
          <w:szCs w:val="28"/>
        </w:rPr>
      </w:pPr>
      <w:r>
        <w:rPr>
          <w:b/>
          <w:sz w:val="28"/>
          <w:szCs w:val="28"/>
        </w:rPr>
        <w:t>ПЕРЕДАЧА ИМУЩЕСТВА</w:t>
      </w:r>
    </w:p>
    <w:p>
      <w:pPr>
        <w:pStyle w:val="Normal"/>
        <w:widowControl w:val="false"/>
        <w:numPr>
          <w:ilvl w:val="1"/>
          <w:numId w:val="19"/>
        </w:numPr>
        <w:spacing w:before="0" w:after="0"/>
        <w:ind w:left="0" w:firstLine="709"/>
        <w:rPr>
          <w:sz w:val="28"/>
          <w:szCs w:val="28"/>
        </w:rPr>
      </w:pPr>
      <w:r>
        <w:rPr>
          <w:sz w:val="28"/>
          <w:szCs w:val="28"/>
        </w:rPr>
        <w:t>Передача Имущества Продавцом и принятие его Покупателем осуществляется в течение 10 календарных дней после исполнения Покупателем своей обязанности по оплате, предусмотренной п. 2.2. настоящего Договора. Обязательство Продавца передать Объект Покупателю считается исполненным после подписания Сторонами акта приема-передачи.</w:t>
      </w:r>
    </w:p>
    <w:p>
      <w:pPr>
        <w:pStyle w:val="Normal"/>
        <w:widowControl w:val="false"/>
        <w:numPr>
          <w:ilvl w:val="1"/>
          <w:numId w:val="19"/>
        </w:numPr>
        <w:spacing w:before="0" w:after="0"/>
        <w:ind w:left="0" w:firstLine="709"/>
        <w:rPr>
          <w:sz w:val="28"/>
          <w:szCs w:val="28"/>
        </w:rPr>
      </w:pPr>
      <w:r>
        <w:rPr>
          <w:sz w:val="28"/>
          <w:szCs w:val="28"/>
        </w:rPr>
        <w:t>Право собственности на Объект переходит от Продавца к Покупателю после передачи Объекта с даты государственной регистрации права собственности Покупателя на Объект.</w:t>
      </w:r>
    </w:p>
    <w:p>
      <w:pPr>
        <w:pStyle w:val="Normal"/>
        <w:widowControl w:val="false"/>
        <w:numPr>
          <w:ilvl w:val="1"/>
          <w:numId w:val="19"/>
        </w:numPr>
        <w:spacing w:before="0" w:after="0"/>
        <w:ind w:left="0" w:firstLine="709"/>
        <w:rPr>
          <w:sz w:val="28"/>
          <w:szCs w:val="28"/>
        </w:rPr>
      </w:pPr>
      <w:r>
        <w:rPr>
          <w:sz w:val="28"/>
          <w:szCs w:val="28"/>
        </w:rPr>
        <w:t xml:space="preserve"> </w:t>
      </w:r>
      <w:r>
        <w:rPr>
          <w:sz w:val="28"/>
          <w:szCs w:val="28"/>
        </w:rPr>
        <w:t>Стороны, после исполнения обязанностей, предусмотренных п. 2.2. и п. 3.1. настоящего Договора, обязуются обратиться в орган, осуществляющий государственную регистрацию прав, заявление и документы, необходимые для государственной регистрации права собственности Покупателя на Имущество, предусмотренные Федеральным законом от 13.07.2015 № 218-ФЗ «О государственной регистрации недвижимости». Бремя несения расходов, связанных с государственной регистрацией перехода права собственности на Имущество (государственная пошлина и пр.), возлагается на Покупателя</w:t>
      </w:r>
    </w:p>
    <w:p>
      <w:pPr>
        <w:pStyle w:val="Normal"/>
        <w:widowControl w:val="false"/>
        <w:numPr>
          <w:ilvl w:val="1"/>
          <w:numId w:val="19"/>
        </w:numPr>
        <w:spacing w:before="0" w:after="0"/>
        <w:ind w:left="0" w:firstLine="709"/>
        <w:rPr>
          <w:sz w:val="28"/>
          <w:szCs w:val="28"/>
        </w:rPr>
      </w:pPr>
      <w:r>
        <w:rPr>
          <w:sz w:val="28"/>
          <w:szCs w:val="28"/>
        </w:rPr>
        <w:t>Риски, связанные со случайной гибелью или повреждением Имущества, до момента его передачи Покупателю по акту приема-передачи, несет Продавец. С даты передачи Имущества Покупателю по акту приема-передачи риски, связанные со случайной гибелью или повреждением Имущества, несет Покупатель.</w:t>
      </w:r>
    </w:p>
    <w:p>
      <w:pPr>
        <w:pStyle w:val="Normal"/>
        <w:ind w:left="709" w:hanging="0"/>
        <w:rPr>
          <w:sz w:val="28"/>
          <w:szCs w:val="28"/>
        </w:rPr>
      </w:pPr>
      <w:r>
        <w:rPr>
          <w:sz w:val="28"/>
          <w:szCs w:val="28"/>
        </w:rPr>
      </w:r>
    </w:p>
    <w:p>
      <w:pPr>
        <w:pStyle w:val="Normal"/>
        <w:widowControl w:val="false"/>
        <w:numPr>
          <w:ilvl w:val="0"/>
          <w:numId w:val="19"/>
        </w:numPr>
        <w:tabs>
          <w:tab w:val="clear" w:pos="567"/>
          <w:tab w:val="left" w:pos="284" w:leader="none"/>
        </w:tabs>
        <w:spacing w:before="120" w:after="120"/>
        <w:ind w:left="0" w:hanging="0"/>
        <w:jc w:val="center"/>
        <w:rPr>
          <w:b/>
          <w:b/>
          <w:sz w:val="28"/>
          <w:szCs w:val="28"/>
        </w:rPr>
      </w:pPr>
      <w:r>
        <w:rPr>
          <w:b/>
          <w:sz w:val="28"/>
          <w:szCs w:val="28"/>
        </w:rPr>
        <w:t>ОТВЕТСТВЕННОСТЬ СТОРОН</w:t>
      </w:r>
    </w:p>
    <w:p>
      <w:pPr>
        <w:pStyle w:val="Normal"/>
        <w:widowControl w:val="false"/>
        <w:numPr>
          <w:ilvl w:val="1"/>
          <w:numId w:val="19"/>
        </w:numPr>
        <w:spacing w:before="0" w:after="0"/>
        <w:ind w:left="0" w:firstLine="709"/>
        <w:rPr>
          <w:sz w:val="28"/>
          <w:szCs w:val="28"/>
        </w:rPr>
      </w:pPr>
      <w:r>
        <w:rPr>
          <w:sz w:val="28"/>
          <w:szCs w:val="28"/>
        </w:rPr>
        <w:t>В случае неисполнения либо ненадлежащего исполнения обязательств по Договору Стороны несут ответственность, установленную законодательством Российской Федерации.</w:t>
      </w:r>
    </w:p>
    <w:p>
      <w:pPr>
        <w:pStyle w:val="Normal"/>
        <w:widowControl w:val="false"/>
        <w:numPr>
          <w:ilvl w:val="1"/>
          <w:numId w:val="19"/>
        </w:numPr>
        <w:spacing w:before="0" w:after="0"/>
        <w:ind w:left="0" w:firstLine="709"/>
        <w:rPr>
          <w:sz w:val="28"/>
          <w:szCs w:val="28"/>
        </w:rPr>
      </w:pPr>
      <w:r>
        <w:rPr>
          <w:sz w:val="28"/>
          <w:szCs w:val="28"/>
        </w:rPr>
        <w:t>Стороны не несут ответственность за неисполнение или ненадлежащее исполнение обязательств по Договору, если невозможность выполнения ими условий Договора наступила в силу обстоятельств непреодолимой силы. Для целей настоящего Договора обстоятельства непреодолимой силы означают террористические акты, диверсии, взрывы, пожары, стихийные бедствия (землетрясение, наводнение, ураган), запреты или ограничения государственных органов,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а также другие причины, находящиеся вне разумного контроля любой стороны Договора, возникновение или последствия которых Сторона не могла обоснованно предвидеть, а если и могла предвидеть, то не могла предотвратить их наступление.</w:t>
      </w:r>
    </w:p>
    <w:p>
      <w:pPr>
        <w:pStyle w:val="Normal"/>
        <w:widowControl w:val="false"/>
        <w:numPr>
          <w:ilvl w:val="1"/>
          <w:numId w:val="19"/>
        </w:numPr>
        <w:spacing w:before="0" w:after="0"/>
        <w:ind w:left="0" w:firstLine="709"/>
        <w:rPr>
          <w:sz w:val="28"/>
          <w:szCs w:val="28"/>
        </w:rPr>
      </w:pPr>
      <w:r>
        <w:rPr>
          <w:sz w:val="28"/>
          <w:szCs w:val="28"/>
        </w:rPr>
        <w:t>При возникновении обстоятельств непреодолимой силы, препятствующих исполнению обязательств по Договору Стороной, такая Сторона обязана известить о данных обстоятельствах другую Сторону в срок не позднее 10 (десяти) календарных дней с момента возникновения таких обстоятельств, при этом срок выполнения обязательств по Договору переносится соразмерно времени, в течение которого действовали такие обстоятельства.</w:t>
      </w:r>
    </w:p>
    <w:p>
      <w:pPr>
        <w:pStyle w:val="Normal"/>
        <w:widowControl w:val="false"/>
        <w:numPr>
          <w:ilvl w:val="1"/>
          <w:numId w:val="19"/>
        </w:numPr>
        <w:spacing w:before="0" w:after="0"/>
        <w:ind w:left="0" w:firstLine="709"/>
        <w:rPr>
          <w:sz w:val="28"/>
          <w:szCs w:val="28"/>
        </w:rPr>
      </w:pPr>
      <w:r>
        <w:rPr>
          <w:sz w:val="28"/>
          <w:szCs w:val="28"/>
        </w:rPr>
        <w:t>В случае нарушения Покупателем сроков оплаты Имущества, установленных в пункте 2.2. настоящего Договора, Покупатель обязуется уплатить Продавцу пени в размере 1% от неоплаченной цены Имущества за каждый день просрочки.</w:t>
      </w:r>
    </w:p>
    <w:p>
      <w:pPr>
        <w:pStyle w:val="Normal"/>
        <w:widowControl w:val="false"/>
        <w:numPr>
          <w:ilvl w:val="0"/>
          <w:numId w:val="19"/>
        </w:numPr>
        <w:tabs>
          <w:tab w:val="clear" w:pos="567"/>
          <w:tab w:val="left" w:pos="284" w:leader="none"/>
        </w:tabs>
        <w:spacing w:before="120" w:after="120"/>
        <w:ind w:left="0" w:hanging="0"/>
        <w:jc w:val="center"/>
        <w:rPr>
          <w:b/>
          <w:b/>
          <w:sz w:val="28"/>
          <w:szCs w:val="28"/>
        </w:rPr>
      </w:pPr>
      <w:r>
        <w:rPr>
          <w:b/>
          <w:sz w:val="28"/>
          <w:szCs w:val="28"/>
        </w:rPr>
        <w:t>СРОК ДЕЙСТВИЯ ДОГОВОРА</w:t>
      </w:r>
    </w:p>
    <w:p>
      <w:pPr>
        <w:pStyle w:val="Normal"/>
        <w:widowControl w:val="false"/>
        <w:numPr>
          <w:ilvl w:val="1"/>
          <w:numId w:val="19"/>
        </w:numPr>
        <w:spacing w:before="0" w:after="0"/>
        <w:ind w:left="0" w:firstLine="567"/>
        <w:rPr>
          <w:sz w:val="28"/>
          <w:szCs w:val="28"/>
        </w:rPr>
      </w:pPr>
      <w:r>
        <w:rPr>
          <w:sz w:val="28"/>
          <w:szCs w:val="28"/>
        </w:rPr>
        <w:t>Договор вступает в силу с даты его подписания Сторонами и действует до полного исполнения Сторонами обязательств по Договору.</w:t>
      </w:r>
    </w:p>
    <w:p>
      <w:pPr>
        <w:pStyle w:val="Normal"/>
        <w:ind w:left="567" w:hanging="0"/>
        <w:rPr>
          <w:sz w:val="28"/>
          <w:szCs w:val="28"/>
        </w:rPr>
      </w:pPr>
      <w:r>
        <w:rPr>
          <w:sz w:val="28"/>
          <w:szCs w:val="28"/>
        </w:rPr>
      </w:r>
    </w:p>
    <w:p>
      <w:pPr>
        <w:pStyle w:val="Normal"/>
        <w:widowControl w:val="false"/>
        <w:numPr>
          <w:ilvl w:val="0"/>
          <w:numId w:val="19"/>
        </w:numPr>
        <w:tabs>
          <w:tab w:val="clear" w:pos="567"/>
          <w:tab w:val="left" w:pos="284" w:leader="none"/>
        </w:tabs>
        <w:spacing w:before="120" w:after="120"/>
        <w:ind w:left="0" w:hanging="0"/>
        <w:jc w:val="center"/>
        <w:rPr>
          <w:b/>
          <w:b/>
          <w:sz w:val="28"/>
          <w:szCs w:val="28"/>
        </w:rPr>
      </w:pPr>
      <w:r>
        <w:rPr>
          <w:b/>
          <w:sz w:val="28"/>
          <w:szCs w:val="28"/>
        </w:rPr>
        <w:t>ГАРАНТИИ СТОРОН (ЗАВЕРЕНИЯ ОБ ОБСТОЯТЕЛЬСТВАХ)</w:t>
      </w:r>
    </w:p>
    <w:p>
      <w:pPr>
        <w:pStyle w:val="Normal"/>
        <w:widowControl w:val="false"/>
        <w:numPr>
          <w:ilvl w:val="1"/>
          <w:numId w:val="19"/>
        </w:numPr>
        <w:spacing w:before="0" w:after="0"/>
        <w:ind w:left="0" w:firstLine="567"/>
        <w:rPr>
          <w:sz w:val="28"/>
          <w:szCs w:val="28"/>
        </w:rPr>
      </w:pPr>
      <w:r>
        <w:rPr>
          <w:sz w:val="28"/>
          <w:szCs w:val="28"/>
        </w:rPr>
        <w:t>Стороны гарантируют, что Договором не нарушаются обязательства соответствующей Стороны перед третьими лицами, внутренние документы, включая уставы Сторон.</w:t>
      </w:r>
    </w:p>
    <w:p>
      <w:pPr>
        <w:pStyle w:val="Normal"/>
        <w:numPr>
          <w:ilvl w:val="1"/>
          <w:numId w:val="19"/>
        </w:numPr>
        <w:spacing w:before="0" w:after="0"/>
        <w:ind w:left="0" w:firstLine="567"/>
        <w:outlineLvl w:val="0"/>
        <w:rPr>
          <w:sz w:val="28"/>
          <w:szCs w:val="28"/>
        </w:rPr>
      </w:pPr>
      <w:r>
        <w:rPr>
          <w:sz w:val="28"/>
          <w:szCs w:val="28"/>
        </w:rPr>
        <w:t>Продавец заверяет и гарантирует Покупателю, что на дату заключения настоящего Договора:</w:t>
      </w:r>
    </w:p>
    <w:p>
      <w:pPr>
        <w:pStyle w:val="Normal"/>
        <w:numPr>
          <w:ilvl w:val="2"/>
          <w:numId w:val="19"/>
        </w:numPr>
        <w:spacing w:before="0" w:after="0"/>
        <w:ind w:left="0" w:firstLine="567"/>
        <w:outlineLvl w:val="0"/>
        <w:rPr>
          <w:sz w:val="28"/>
          <w:szCs w:val="28"/>
        </w:rPr>
      </w:pPr>
      <w:r>
        <w:rPr>
          <w:sz w:val="28"/>
          <w:szCs w:val="28"/>
        </w:rPr>
        <w:t>Продавец является действующим юридическим лицом и обладает правоспособностью на заключение Договора.</w:t>
      </w:r>
    </w:p>
    <w:p>
      <w:pPr>
        <w:pStyle w:val="Normal"/>
        <w:numPr>
          <w:ilvl w:val="2"/>
          <w:numId w:val="19"/>
        </w:numPr>
        <w:spacing w:before="0" w:after="0"/>
        <w:ind w:left="0" w:firstLine="567"/>
        <w:outlineLvl w:val="0"/>
        <w:rPr>
          <w:sz w:val="28"/>
          <w:szCs w:val="28"/>
        </w:rPr>
      </w:pPr>
      <w:r>
        <w:rPr>
          <w:sz w:val="28"/>
          <w:szCs w:val="28"/>
        </w:rPr>
        <w:t>Лицо, подписывающее Договор и настоящие заверения от имени Продавца, обладает всеми необходимыми полномочиями на их подписание.</w:t>
      </w:r>
    </w:p>
    <w:p>
      <w:pPr>
        <w:pStyle w:val="Normal"/>
        <w:numPr>
          <w:ilvl w:val="1"/>
          <w:numId w:val="19"/>
        </w:numPr>
        <w:spacing w:before="0" w:after="0"/>
        <w:ind w:left="0" w:firstLine="567"/>
        <w:outlineLvl w:val="0"/>
        <w:rPr>
          <w:sz w:val="28"/>
          <w:szCs w:val="28"/>
        </w:rPr>
      </w:pPr>
      <w:r>
        <w:rPr>
          <w:sz w:val="28"/>
          <w:szCs w:val="28"/>
        </w:rPr>
        <w:t>Покупатель заверяет и гарантирует Продавцу, что на дату заключения настоящего Договора:</w:t>
      </w:r>
    </w:p>
    <w:p>
      <w:pPr>
        <w:pStyle w:val="Normal"/>
        <w:numPr>
          <w:ilvl w:val="2"/>
          <w:numId w:val="19"/>
        </w:numPr>
        <w:spacing w:before="0" w:after="0"/>
        <w:ind w:left="0" w:firstLine="567"/>
        <w:outlineLvl w:val="0"/>
        <w:rPr>
          <w:sz w:val="28"/>
          <w:szCs w:val="28"/>
        </w:rPr>
      </w:pPr>
      <w:r>
        <w:rPr>
          <w:sz w:val="28"/>
          <w:szCs w:val="28"/>
        </w:rPr>
        <w:t>Покупатель является действующим юридическим лицом и обладает правоспособностью на заключение Договора.</w:t>
      </w:r>
    </w:p>
    <w:p>
      <w:pPr>
        <w:pStyle w:val="Normal"/>
        <w:widowControl w:val="false"/>
        <w:numPr>
          <w:ilvl w:val="2"/>
          <w:numId w:val="19"/>
        </w:numPr>
        <w:spacing w:before="0" w:after="0"/>
        <w:ind w:left="0" w:firstLine="567"/>
        <w:rPr>
          <w:sz w:val="28"/>
          <w:szCs w:val="28"/>
        </w:rPr>
      </w:pPr>
      <w:r>
        <w:rPr>
          <w:sz w:val="28"/>
          <w:szCs w:val="28"/>
        </w:rPr>
        <w:t>Лицо, подписывающее Договор и настоящие заверения от имени Покупателя, обладает всеми необходимыми полномочиями на их подписание.</w:t>
      </w:r>
    </w:p>
    <w:p>
      <w:pPr>
        <w:pStyle w:val="Normal"/>
        <w:widowControl w:val="false"/>
        <w:numPr>
          <w:ilvl w:val="1"/>
          <w:numId w:val="19"/>
        </w:numPr>
        <w:spacing w:before="0" w:after="0"/>
        <w:ind w:left="0" w:firstLine="567"/>
        <w:rPr>
          <w:sz w:val="28"/>
          <w:szCs w:val="28"/>
        </w:rPr>
      </w:pPr>
      <w:r>
        <w:rPr>
          <w:sz w:val="28"/>
          <w:szCs w:val="28"/>
        </w:rPr>
        <w:t>Стороны гарантируют, что на дату заключения Договора каждой из Сторон получены все необходимые корпоративные одобрения, требующиеся для заключения и исполнения Договора в соответствии с законодательством Российской Федерации и учредительными документами Сторон.</w:t>
      </w:r>
    </w:p>
    <w:p>
      <w:pPr>
        <w:pStyle w:val="Normal"/>
        <w:widowControl w:val="false"/>
        <w:numPr>
          <w:ilvl w:val="1"/>
          <w:numId w:val="19"/>
        </w:numPr>
        <w:spacing w:before="0" w:after="0"/>
        <w:ind w:left="0" w:firstLine="567"/>
        <w:rPr>
          <w:sz w:val="28"/>
          <w:szCs w:val="28"/>
        </w:rPr>
      </w:pPr>
      <w:r>
        <w:rPr>
          <w:sz w:val="28"/>
          <w:szCs w:val="28"/>
        </w:rPr>
        <w:t>Гарантии, перечисленные в настоящем разделе 6 Договора, являются в соответствии со статьей 431.2 Гражданского кодекса Российской Федерации заверениями об обстоятельствах. В случае недостоверности указанных в настоящем разделе заверений Сторона, предоставившая недостоверные заверения об обстоятельствах, обязуется возместить другой Стороны по ее требованию убытки, причиненные недостоверностью таких заверений.</w:t>
      </w:r>
    </w:p>
    <w:p>
      <w:pPr>
        <w:pStyle w:val="Normal"/>
        <w:ind w:left="567" w:hanging="0"/>
        <w:rPr>
          <w:sz w:val="28"/>
          <w:szCs w:val="28"/>
        </w:rPr>
      </w:pPr>
      <w:r>
        <w:rPr>
          <w:sz w:val="28"/>
          <w:szCs w:val="28"/>
        </w:rPr>
      </w:r>
    </w:p>
    <w:p>
      <w:pPr>
        <w:pStyle w:val="Normal"/>
        <w:widowControl w:val="false"/>
        <w:numPr>
          <w:ilvl w:val="0"/>
          <w:numId w:val="19"/>
        </w:numPr>
        <w:tabs>
          <w:tab w:val="clear" w:pos="567"/>
          <w:tab w:val="left" w:pos="284" w:leader="none"/>
        </w:tabs>
        <w:spacing w:before="120" w:after="120"/>
        <w:ind w:left="0" w:hanging="0"/>
        <w:jc w:val="center"/>
        <w:rPr>
          <w:b/>
          <w:b/>
          <w:sz w:val="28"/>
          <w:szCs w:val="28"/>
        </w:rPr>
      </w:pPr>
      <w:r>
        <w:rPr>
          <w:b/>
          <w:sz w:val="28"/>
          <w:szCs w:val="28"/>
        </w:rPr>
        <w:t>ПРОЧИЕ УСЛОВИЯ</w:t>
      </w:r>
    </w:p>
    <w:p>
      <w:pPr>
        <w:pStyle w:val="Normal"/>
        <w:widowControl w:val="false"/>
        <w:numPr>
          <w:ilvl w:val="1"/>
          <w:numId w:val="19"/>
        </w:numPr>
        <w:spacing w:before="0" w:after="0"/>
        <w:ind w:left="0" w:firstLine="709"/>
        <w:rPr>
          <w:sz w:val="28"/>
          <w:szCs w:val="28"/>
        </w:rPr>
      </w:pPr>
      <w:r>
        <w:rPr>
          <w:sz w:val="28"/>
          <w:szCs w:val="28"/>
        </w:rPr>
        <w:t xml:space="preserve">Договор может быть изменен Сторонами в период его действия на основе их взаимного согласия и наличия объективных причин. </w:t>
      </w:r>
    </w:p>
    <w:p>
      <w:pPr>
        <w:pStyle w:val="Normal"/>
        <w:widowControl w:val="false"/>
        <w:numPr>
          <w:ilvl w:val="1"/>
          <w:numId w:val="19"/>
        </w:numPr>
        <w:spacing w:before="0" w:after="0"/>
        <w:ind w:left="0" w:firstLine="709"/>
        <w:rPr>
          <w:sz w:val="28"/>
          <w:szCs w:val="28"/>
        </w:rPr>
      </w:pPr>
      <w:r>
        <w:rPr>
          <w:sz w:val="28"/>
          <w:szCs w:val="28"/>
        </w:rPr>
        <w:t>Любые соглашения Сторон по изменению условий Договора имеют силу в том случае, если они оформлены в письменном виде, подписаны Сторонами и скреплены печатями Сторон.</w:t>
      </w:r>
    </w:p>
    <w:p>
      <w:pPr>
        <w:pStyle w:val="Normal"/>
        <w:widowControl w:val="false"/>
        <w:numPr>
          <w:ilvl w:val="1"/>
          <w:numId w:val="19"/>
        </w:numPr>
        <w:spacing w:before="0" w:after="0"/>
        <w:ind w:left="0" w:firstLine="709"/>
        <w:rPr>
          <w:sz w:val="28"/>
          <w:szCs w:val="28"/>
        </w:rPr>
      </w:pPr>
      <w:r>
        <w:rPr>
          <w:sz w:val="28"/>
          <w:szCs w:val="28"/>
        </w:rPr>
        <w:t>Все споры и разногласия, которые могут возникнуть между Сторонами по Договору, будут разрешаться путем переговоров.</w:t>
      </w:r>
    </w:p>
    <w:p>
      <w:pPr>
        <w:pStyle w:val="Normal"/>
        <w:widowControl w:val="false"/>
        <w:numPr>
          <w:ilvl w:val="1"/>
          <w:numId w:val="19"/>
        </w:numPr>
        <w:spacing w:before="0" w:after="0"/>
        <w:ind w:left="0" w:firstLine="709"/>
        <w:rPr>
          <w:sz w:val="28"/>
          <w:szCs w:val="28"/>
        </w:rPr>
      </w:pPr>
      <w:r>
        <w:rPr>
          <w:sz w:val="28"/>
          <w:szCs w:val="28"/>
        </w:rPr>
        <w:t>Споры, не урегулированные путем переговоров, будут переданы на рассмотрение Арбитражного суда города Москвы.</w:t>
      </w:r>
    </w:p>
    <w:p>
      <w:pPr>
        <w:pStyle w:val="Normal"/>
        <w:widowControl w:val="false"/>
        <w:numPr>
          <w:ilvl w:val="1"/>
          <w:numId w:val="19"/>
        </w:numPr>
        <w:spacing w:before="0" w:after="0"/>
        <w:ind w:left="0" w:firstLine="709"/>
        <w:rPr>
          <w:sz w:val="28"/>
          <w:szCs w:val="28"/>
        </w:rPr>
      </w:pPr>
      <w:r>
        <w:rPr>
          <w:sz w:val="28"/>
          <w:szCs w:val="28"/>
        </w:rPr>
        <w:t>Договор может быть расторгнут по соглашению Сторон.</w:t>
      </w:r>
    </w:p>
    <w:p>
      <w:pPr>
        <w:pStyle w:val="Normal"/>
        <w:widowControl w:val="false"/>
        <w:numPr>
          <w:ilvl w:val="1"/>
          <w:numId w:val="19"/>
        </w:numPr>
        <w:spacing w:before="0" w:after="0"/>
        <w:ind w:left="0" w:firstLine="709"/>
        <w:rPr>
          <w:sz w:val="28"/>
          <w:szCs w:val="28"/>
        </w:rPr>
      </w:pPr>
      <w:r>
        <w:rPr>
          <w:sz w:val="28"/>
          <w:szCs w:val="28"/>
        </w:rPr>
        <w:t>Стороны обязуются выполнять условия, предусмотренные Приложением № 4 (Соглашение о соблюдении антикоррупционных условий), являющимся неотъемлемой частью Договора.</w:t>
      </w:r>
    </w:p>
    <w:p>
      <w:pPr>
        <w:pStyle w:val="Normal"/>
        <w:widowControl w:val="false"/>
        <w:numPr>
          <w:ilvl w:val="1"/>
          <w:numId w:val="19"/>
        </w:numPr>
        <w:spacing w:before="0" w:after="0"/>
        <w:ind w:left="0" w:firstLine="709"/>
        <w:rPr>
          <w:sz w:val="28"/>
          <w:szCs w:val="28"/>
        </w:rPr>
      </w:pPr>
      <w:r>
        <w:rPr>
          <w:sz w:val="28"/>
          <w:szCs w:val="28"/>
        </w:rPr>
        <w:t>В отношениях, не урегулированных Договором, Стороны руководствуются действующим законодательством Российской Федерации.</w:t>
      </w:r>
    </w:p>
    <w:p>
      <w:pPr>
        <w:pStyle w:val="Normal"/>
        <w:widowControl w:val="false"/>
        <w:numPr>
          <w:ilvl w:val="1"/>
          <w:numId w:val="19"/>
        </w:numPr>
        <w:spacing w:before="0" w:after="0"/>
        <w:ind w:left="0" w:firstLine="709"/>
        <w:rPr>
          <w:sz w:val="28"/>
          <w:szCs w:val="28"/>
        </w:rPr>
      </w:pPr>
      <w:r>
        <w:rPr>
          <w:sz w:val="28"/>
          <w:szCs w:val="28"/>
        </w:rPr>
        <w:t xml:space="preserve">Договор составлен в 3 (трех) экземплярах, имеющих одинаковую юридическую силу: по 1 (одному) экземпляру для каждой из Сторон и один - для органа, осуществляющего государственную регистрацию прав. </w:t>
      </w:r>
    </w:p>
    <w:p>
      <w:pPr>
        <w:pStyle w:val="Normal"/>
        <w:widowControl w:val="false"/>
        <w:numPr>
          <w:ilvl w:val="1"/>
          <w:numId w:val="19"/>
        </w:numPr>
        <w:spacing w:before="0" w:after="0"/>
        <w:ind w:left="0" w:firstLine="709"/>
        <w:rPr>
          <w:sz w:val="28"/>
          <w:szCs w:val="28"/>
        </w:rPr>
      </w:pPr>
      <w:r>
        <w:rPr>
          <w:sz w:val="28"/>
          <w:szCs w:val="28"/>
        </w:rPr>
        <w:t xml:space="preserve">Все изменения и дополнения к Договору действительны при условии, что они совершены в письменной форме в виде единого документа и подписаны уполномоченными представителями Сторон, за исключением случаев изменения реквизитов Сторон. </w:t>
      </w:r>
    </w:p>
    <w:p>
      <w:pPr>
        <w:pStyle w:val="Normal"/>
        <w:widowControl w:val="false"/>
        <w:numPr>
          <w:ilvl w:val="1"/>
          <w:numId w:val="19"/>
        </w:numPr>
        <w:spacing w:before="0" w:after="0"/>
        <w:ind w:left="0" w:firstLine="709"/>
        <w:rPr>
          <w:sz w:val="28"/>
          <w:szCs w:val="28"/>
        </w:rPr>
      </w:pPr>
      <w:r>
        <w:rPr>
          <w:sz w:val="28"/>
          <w:szCs w:val="28"/>
        </w:rPr>
        <w:t>Все приложения к Договору, а также любые изменения и дополнения, оформленные надлежащим образом, являются неотъемлемой частью Договора.</w:t>
      </w:r>
    </w:p>
    <w:p>
      <w:pPr>
        <w:pStyle w:val="Normal"/>
        <w:widowControl w:val="false"/>
        <w:numPr>
          <w:ilvl w:val="1"/>
          <w:numId w:val="19"/>
        </w:numPr>
        <w:spacing w:before="0" w:after="0"/>
        <w:ind w:left="0" w:firstLine="709"/>
        <w:rPr>
          <w:sz w:val="28"/>
          <w:szCs w:val="28"/>
        </w:rPr>
      </w:pPr>
      <w:r>
        <w:rPr>
          <w:sz w:val="28"/>
          <w:szCs w:val="28"/>
        </w:rPr>
        <w:t xml:space="preserve">Уступка (передача), в том числе в залог, прав (требований), возникших из Договора, допускается только с предварительного письменного согласия Сторон и оформляется трехсторонним договором. </w:t>
      </w:r>
    </w:p>
    <w:p>
      <w:pPr>
        <w:pStyle w:val="Normal"/>
        <w:widowControl w:val="false"/>
        <w:numPr>
          <w:ilvl w:val="0"/>
          <w:numId w:val="19"/>
        </w:numPr>
        <w:tabs>
          <w:tab w:val="clear" w:pos="567"/>
          <w:tab w:val="left" w:pos="284" w:leader="none"/>
        </w:tabs>
        <w:spacing w:before="120" w:after="120"/>
        <w:ind w:left="0" w:hanging="0"/>
        <w:jc w:val="center"/>
        <w:rPr>
          <w:b/>
          <w:b/>
          <w:sz w:val="28"/>
          <w:szCs w:val="28"/>
        </w:rPr>
      </w:pPr>
      <w:r>
        <w:rPr>
          <w:b/>
          <w:sz w:val="28"/>
          <w:szCs w:val="28"/>
        </w:rPr>
        <w:t>ПЕРЕЧЕНЬ ПРИЛОЖЕНИЙ</w:t>
      </w:r>
    </w:p>
    <w:p>
      <w:pPr>
        <w:pStyle w:val="Normal"/>
        <w:widowControl w:val="false"/>
        <w:numPr>
          <w:ilvl w:val="1"/>
          <w:numId w:val="19"/>
        </w:numPr>
        <w:spacing w:before="0" w:after="0"/>
        <w:ind w:left="0" w:firstLine="709"/>
        <w:rPr>
          <w:sz w:val="28"/>
          <w:szCs w:val="28"/>
        </w:rPr>
      </w:pPr>
      <w:r>
        <w:rPr>
          <w:sz w:val="28"/>
          <w:szCs w:val="28"/>
        </w:rPr>
        <w:t>Приложение № 1 – Перечень недвижимого имущества.</w:t>
      </w:r>
    </w:p>
    <w:p>
      <w:pPr>
        <w:pStyle w:val="Normal"/>
        <w:widowControl w:val="false"/>
        <w:numPr>
          <w:ilvl w:val="0"/>
          <w:numId w:val="19"/>
        </w:numPr>
        <w:tabs>
          <w:tab w:val="clear" w:pos="567"/>
          <w:tab w:val="left" w:pos="284" w:leader="none"/>
        </w:tabs>
        <w:spacing w:before="120" w:after="120"/>
        <w:ind w:left="0" w:hanging="0"/>
        <w:jc w:val="center"/>
        <w:rPr>
          <w:b/>
          <w:b/>
          <w:sz w:val="28"/>
          <w:szCs w:val="28"/>
        </w:rPr>
      </w:pPr>
      <w:r>
        <w:rPr>
          <w:b/>
          <w:sz w:val="28"/>
          <w:szCs w:val="28"/>
        </w:rPr>
        <w:t>АДРЕСА, ПЛАТЕЖНЫЕ РЕКВИЗИТЫ И ПОДПИСИ СТОРОН</w:t>
      </w:r>
    </w:p>
    <w:tbl>
      <w:tblPr>
        <w:tblW w:w="9747" w:type="dxa"/>
        <w:jc w:val="center"/>
        <w:tblInd w:w="0" w:type="dxa"/>
        <w:tblLayout w:type="fixed"/>
        <w:tblCellMar>
          <w:top w:w="0" w:type="dxa"/>
          <w:left w:w="108" w:type="dxa"/>
          <w:bottom w:w="0" w:type="dxa"/>
          <w:right w:w="108" w:type="dxa"/>
        </w:tblCellMar>
        <w:tblLook w:val="00a0" w:noVBand="0" w:noHBand="0" w:lastColumn="0" w:firstColumn="1" w:lastRow="0" w:firstRow="1"/>
      </w:tblPr>
      <w:tblGrid>
        <w:gridCol w:w="4928"/>
        <w:gridCol w:w="4818"/>
      </w:tblGrid>
      <w:tr>
        <w:trPr/>
        <w:tc>
          <w:tcPr>
            <w:tcW w:w="4928" w:type="dxa"/>
            <w:tcBorders/>
            <w:shd w:color="auto" w:fill="auto" w:val="clear"/>
          </w:tcPr>
          <w:p>
            <w:pPr>
              <w:pStyle w:val="Normal"/>
              <w:widowControl w:val="false"/>
              <w:spacing w:before="120" w:after="0"/>
              <w:rPr>
                <w:b/>
                <w:b/>
                <w:sz w:val="28"/>
                <w:szCs w:val="28"/>
              </w:rPr>
            </w:pPr>
            <w:r>
              <w:rPr>
                <w:b/>
                <w:sz w:val="28"/>
                <w:szCs w:val="28"/>
              </w:rPr>
              <w:t>ПРОДАВЕЦ:</w:t>
            </w:r>
          </w:p>
        </w:tc>
        <w:tc>
          <w:tcPr>
            <w:tcW w:w="4818" w:type="dxa"/>
            <w:tcBorders/>
            <w:shd w:color="auto" w:fill="auto" w:val="clear"/>
          </w:tcPr>
          <w:p>
            <w:pPr>
              <w:pStyle w:val="Normal"/>
              <w:widowControl w:val="false"/>
              <w:spacing w:before="120" w:after="0"/>
              <w:rPr>
                <w:b/>
                <w:b/>
                <w:sz w:val="28"/>
                <w:szCs w:val="28"/>
              </w:rPr>
            </w:pPr>
            <w:r>
              <w:rPr>
                <w:b/>
                <w:sz w:val="28"/>
                <w:szCs w:val="28"/>
              </w:rPr>
              <w:t>ПОКУПАТЕЛЬ:</w:t>
            </w:r>
          </w:p>
        </w:tc>
      </w:tr>
      <w:tr>
        <w:trPr/>
        <w:tc>
          <w:tcPr>
            <w:tcW w:w="4928" w:type="dxa"/>
            <w:tcBorders/>
            <w:shd w:color="auto" w:fill="auto" w:val="clear"/>
          </w:tcPr>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r>
          </w:p>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t>ПАО «РусГидро»</w:t>
            </w:r>
          </w:p>
          <w:p>
            <w:pPr>
              <w:pStyle w:val="Body1"/>
              <w:widowControl w:val="false"/>
              <w:spacing w:lineRule="auto" w:line="240" w:before="0" w:after="0"/>
              <w:ind w:left="0" w:hanging="0"/>
              <w:jc w:val="left"/>
              <w:rPr>
                <w:rFonts w:ascii="Times New Roman" w:hAnsi="Times New Roman"/>
                <w:sz w:val="28"/>
                <w:szCs w:val="28"/>
                <w:lang w:val="ru-RU"/>
              </w:rPr>
            </w:pPr>
            <w:r>
              <w:rPr>
                <w:rFonts w:ascii="Times New Roman" w:hAnsi="Times New Roman"/>
                <w:sz w:val="28"/>
                <w:szCs w:val="28"/>
                <w:lang w:val="ru-RU"/>
              </w:rPr>
            </w:r>
          </w:p>
        </w:tc>
        <w:tc>
          <w:tcPr>
            <w:tcW w:w="4818" w:type="dxa"/>
            <w:tcBorders/>
            <w:shd w:color="auto" w:fill="auto" w:val="clear"/>
          </w:tcPr>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r>
          </w:p>
          <w:p>
            <w:pPr>
              <w:pStyle w:val="Normal"/>
              <w:widowControl w:val="false"/>
              <w:rPr>
                <w:sz w:val="28"/>
                <w:szCs w:val="28"/>
              </w:rPr>
            </w:pPr>
            <w:r>
              <w:rPr>
                <w:sz w:val="28"/>
                <w:szCs w:val="28"/>
              </w:rPr>
            </w:r>
          </w:p>
        </w:tc>
      </w:tr>
      <w:tr>
        <w:trPr/>
        <w:tc>
          <w:tcPr>
            <w:tcW w:w="4928" w:type="dxa"/>
            <w:tcBorders/>
            <w:shd w:color="auto" w:fill="auto" w:val="clear"/>
          </w:tcPr>
          <w:p>
            <w:pPr>
              <w:pStyle w:val="Normal"/>
              <w:widowControl w:val="false"/>
              <w:spacing w:before="120" w:after="0"/>
              <w:rPr>
                <w:sz w:val="28"/>
                <w:szCs w:val="28"/>
              </w:rPr>
            </w:pPr>
            <w:r>
              <w:rPr>
                <w:sz w:val="28"/>
                <w:szCs w:val="28"/>
              </w:rPr>
            </w:r>
          </w:p>
        </w:tc>
        <w:tc>
          <w:tcPr>
            <w:tcW w:w="4818" w:type="dxa"/>
            <w:tcBorders/>
            <w:shd w:color="auto" w:fill="auto" w:val="clear"/>
          </w:tcPr>
          <w:p>
            <w:pPr>
              <w:pStyle w:val="Body1"/>
              <w:widowControl w:val="false"/>
              <w:spacing w:lineRule="auto" w:line="240" w:before="0" w:after="0"/>
              <w:ind w:left="0" w:hanging="0"/>
              <w:jc w:val="left"/>
              <w:rPr>
                <w:rFonts w:ascii="Times New Roman" w:hAnsi="Times New Roman"/>
                <w:sz w:val="28"/>
                <w:szCs w:val="28"/>
                <w:lang w:val="ru-RU"/>
              </w:rPr>
            </w:pPr>
            <w:r>
              <w:rPr>
                <w:rFonts w:ascii="Times New Roman" w:hAnsi="Times New Roman"/>
                <w:sz w:val="28"/>
                <w:szCs w:val="28"/>
                <w:lang w:val="ru-RU"/>
              </w:rPr>
            </w:r>
          </w:p>
        </w:tc>
      </w:tr>
    </w:tbl>
    <w:p>
      <w:pPr>
        <w:sectPr>
          <w:footerReference w:type="default" r:id="rId16"/>
          <w:footerReference w:type="first" r:id="rId17"/>
          <w:type w:val="nextPage"/>
          <w:pgSz w:w="11906" w:h="16838"/>
          <w:pgMar w:left="1134" w:right="567" w:gutter="0" w:header="0" w:top="1134" w:footer="0" w:bottom="1418"/>
          <w:pgNumType w:fmt="decimal"/>
          <w:formProt w:val="false"/>
          <w:titlePg/>
          <w:textDirection w:val="lrTb"/>
          <w:docGrid w:type="default" w:linePitch="360" w:charSpace="4294963199"/>
        </w:sectPr>
      </w:pPr>
    </w:p>
    <w:p>
      <w:pPr>
        <w:pStyle w:val="Normal"/>
        <w:ind w:left="709" w:hanging="0"/>
        <w:jc w:val="right"/>
        <w:rPr>
          <w:sz w:val="24"/>
          <w:szCs w:val="24"/>
        </w:rPr>
      </w:pPr>
      <w:r>
        <w:rPr>
          <w:sz w:val="24"/>
          <w:szCs w:val="24"/>
        </w:rPr>
        <w:t xml:space="preserve">Приложение № 1 </w:t>
      </w:r>
    </w:p>
    <w:p>
      <w:pPr>
        <w:pStyle w:val="Normal"/>
        <w:ind w:left="709" w:hanging="0"/>
        <w:jc w:val="right"/>
        <w:rPr>
          <w:sz w:val="24"/>
          <w:szCs w:val="24"/>
        </w:rPr>
      </w:pPr>
      <w:r>
        <w:rPr>
          <w:sz w:val="24"/>
          <w:szCs w:val="24"/>
        </w:rPr>
        <w:t>к Договору купли-продажи</w:t>
      </w:r>
    </w:p>
    <w:p>
      <w:pPr>
        <w:pStyle w:val="Normal"/>
        <w:ind w:left="709" w:hanging="0"/>
        <w:jc w:val="right"/>
        <w:rPr>
          <w:sz w:val="24"/>
          <w:szCs w:val="24"/>
        </w:rPr>
      </w:pPr>
      <w:r>
        <w:rPr>
          <w:sz w:val="24"/>
          <w:szCs w:val="24"/>
        </w:rPr>
        <w:t xml:space="preserve">№ </w:t>
      </w:r>
      <w:r>
        <w:rPr>
          <w:sz w:val="24"/>
          <w:szCs w:val="24"/>
        </w:rPr>
        <w:t>_____ от __________</w:t>
      </w:r>
    </w:p>
    <w:p>
      <w:pPr>
        <w:pStyle w:val="Normal"/>
        <w:ind w:left="709" w:hanging="0"/>
        <w:jc w:val="center"/>
        <w:rPr>
          <w:sz w:val="28"/>
          <w:szCs w:val="28"/>
        </w:rPr>
      </w:pPr>
      <w:r>
        <w:rPr>
          <w:sz w:val="28"/>
          <w:szCs w:val="28"/>
        </w:rPr>
        <w:t xml:space="preserve"> </w:t>
      </w:r>
      <w:r>
        <w:rPr>
          <w:sz w:val="28"/>
          <w:szCs w:val="28"/>
        </w:rPr>
        <w:t>Перечень недвижимого имущества</w:t>
      </w:r>
    </w:p>
    <w:tbl>
      <w:tblPr>
        <w:tblStyle w:val="26"/>
        <w:tblpPr w:bottomFromText="0" w:horzAnchor="margin" w:leftFromText="180" w:rightFromText="180" w:tblpX="0" w:tblpXSpec="center" w:tblpY="2944" w:topFromText="0" w:vertAnchor="page"/>
        <w:tblW w:w="15276"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560"/>
        <w:gridCol w:w="1957"/>
        <w:gridCol w:w="3260"/>
        <w:gridCol w:w="3006"/>
        <w:gridCol w:w="2806"/>
        <w:gridCol w:w="3686"/>
      </w:tblGrid>
      <w:tr>
        <w:trPr>
          <w:tblHeader w:val="true"/>
          <w:trHeight w:val="980" w:hRule="atLeast"/>
        </w:trPr>
        <w:tc>
          <w:tcPr>
            <w:tcW w:w="560" w:type="dxa"/>
            <w:tcBorders/>
            <w:vAlign w:val="center"/>
          </w:tcPr>
          <w:p>
            <w:pPr>
              <w:pStyle w:val="Normal"/>
              <w:widowControl/>
              <w:tabs>
                <w:tab w:val="clear" w:pos="567"/>
                <w:tab w:val="left" w:pos="709" w:leader="none"/>
              </w:tabs>
              <w:spacing w:before="0" w:after="0"/>
              <w:jc w:val="center"/>
              <w:rPr>
                <w:rFonts w:ascii="Times New Roman" w:hAnsi="Times New Roman" w:eastAsia="Times New Roman"/>
                <w:b/>
                <w:b/>
                <w:bCs/>
                <w:color w:val="000000"/>
                <w:sz w:val="24"/>
                <w:szCs w:val="24"/>
              </w:rPr>
            </w:pPr>
            <w:r>
              <w:rPr>
                <w:rFonts w:eastAsia="Times New Roman" w:cs="Calibri"/>
                <w:b/>
                <w:bCs/>
                <w:color w:val="000000"/>
                <w:kern w:val="0"/>
                <w:sz w:val="24"/>
                <w:szCs w:val="24"/>
                <w:lang w:val="ru-RU" w:eastAsia="ru-RU" w:bidi="ar-SA"/>
              </w:rPr>
              <w:t xml:space="preserve">№ </w:t>
            </w:r>
            <w:r>
              <w:rPr>
                <w:rFonts w:eastAsia="Times New Roman" w:cs="Calibri"/>
                <w:b/>
                <w:bCs/>
                <w:color w:val="000000"/>
                <w:kern w:val="0"/>
                <w:sz w:val="24"/>
                <w:szCs w:val="24"/>
                <w:lang w:val="ru-RU" w:eastAsia="ru-RU" w:bidi="ar-SA"/>
              </w:rPr>
              <w:t>п/п</w:t>
            </w:r>
          </w:p>
        </w:tc>
        <w:tc>
          <w:tcPr>
            <w:tcW w:w="1957" w:type="dxa"/>
            <w:tcBorders/>
            <w:vAlign w:val="center"/>
          </w:tcPr>
          <w:p>
            <w:pPr>
              <w:pStyle w:val="Normal"/>
              <w:widowControl/>
              <w:tabs>
                <w:tab w:val="clear" w:pos="567"/>
                <w:tab w:val="left" w:pos="709" w:leader="none"/>
              </w:tabs>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Наименование Имущества</w:t>
            </w:r>
          </w:p>
        </w:tc>
        <w:tc>
          <w:tcPr>
            <w:tcW w:w="3260" w:type="dxa"/>
            <w:tcBorders/>
            <w:vAlign w:val="center"/>
          </w:tcPr>
          <w:p>
            <w:pPr>
              <w:pStyle w:val="Normal"/>
              <w:widowControl/>
              <w:tabs>
                <w:tab w:val="clear" w:pos="567"/>
                <w:tab w:val="left" w:pos="709" w:leader="none"/>
              </w:tabs>
              <w:spacing w:before="0" w:after="0"/>
              <w:jc w:val="center"/>
              <w:rPr>
                <w:rFonts w:ascii="Times New Roman" w:hAnsi="Times New Roman" w:eastAsia="Times New Roman" w:cs="Calibri"/>
                <w:b/>
                <w:b/>
                <w:bCs/>
                <w:color w:val="000000"/>
                <w:sz w:val="24"/>
                <w:szCs w:val="24"/>
              </w:rPr>
            </w:pPr>
            <w:r>
              <w:rPr>
                <w:rFonts w:eastAsia="Times New Roman" w:cs="Calibri"/>
                <w:b/>
                <w:bCs/>
                <w:color w:val="000000"/>
                <w:kern w:val="0"/>
                <w:sz w:val="24"/>
                <w:szCs w:val="24"/>
                <w:lang w:val="ru-RU" w:eastAsia="ru-RU" w:bidi="ar-SA"/>
              </w:rPr>
              <w:t xml:space="preserve">Характеристики </w:t>
            </w:r>
          </w:p>
          <w:p>
            <w:pPr>
              <w:pStyle w:val="Normal"/>
              <w:widowControl/>
              <w:tabs>
                <w:tab w:val="clear" w:pos="567"/>
                <w:tab w:val="left" w:pos="709" w:leader="none"/>
              </w:tabs>
              <w:spacing w:before="0" w:after="0"/>
              <w:jc w:val="center"/>
              <w:rPr>
                <w:rFonts w:cs="Calibri"/>
                <w:b/>
                <w:b/>
                <w:bCs/>
                <w:color w:val="000000"/>
                <w:sz w:val="24"/>
                <w:szCs w:val="24"/>
              </w:rPr>
            </w:pPr>
            <w:r>
              <w:rPr>
                <w:rFonts w:eastAsia="Times New Roman" w:cs="Calibri"/>
                <w:b/>
                <w:bCs/>
                <w:color w:val="000000"/>
                <w:kern w:val="0"/>
                <w:sz w:val="24"/>
                <w:szCs w:val="24"/>
                <w:lang w:val="ru-RU" w:eastAsia="ru-RU" w:bidi="ar-SA"/>
              </w:rPr>
              <w:t>Имущества</w:t>
            </w:r>
          </w:p>
        </w:tc>
        <w:tc>
          <w:tcPr>
            <w:tcW w:w="3006" w:type="dxa"/>
            <w:tcBorders/>
            <w:vAlign w:val="center"/>
          </w:tcPr>
          <w:p>
            <w:pPr>
              <w:pStyle w:val="Normal"/>
              <w:widowControl/>
              <w:tabs>
                <w:tab w:val="clear" w:pos="567"/>
                <w:tab w:val="left" w:pos="709" w:leader="none"/>
              </w:tabs>
              <w:spacing w:before="0" w:after="0"/>
              <w:jc w:val="center"/>
              <w:rPr>
                <w:rFonts w:ascii="Times New Roman" w:hAnsi="Times New Roman" w:eastAsia="Times New Roman" w:cs="Calibri"/>
                <w:b/>
                <w:b/>
                <w:bCs/>
                <w:color w:val="000000"/>
                <w:sz w:val="24"/>
                <w:szCs w:val="24"/>
              </w:rPr>
            </w:pPr>
            <w:r>
              <w:rPr>
                <w:rFonts w:eastAsia="Times New Roman" w:cs="Calibri"/>
                <w:b/>
                <w:bCs/>
                <w:color w:val="000000"/>
                <w:kern w:val="0"/>
                <w:sz w:val="24"/>
                <w:szCs w:val="24"/>
                <w:lang w:val="ru-RU" w:eastAsia="ru-RU" w:bidi="ar-SA"/>
              </w:rPr>
              <w:t>Номер записи</w:t>
            </w:r>
          </w:p>
          <w:p>
            <w:pPr>
              <w:pStyle w:val="Normal"/>
              <w:widowControl w:val="false"/>
              <w:tabs>
                <w:tab w:val="clear" w:pos="567"/>
                <w:tab w:val="left" w:pos="709" w:leader="none"/>
              </w:tabs>
              <w:spacing w:before="0" w:after="0"/>
              <w:jc w:val="center"/>
              <w:rPr>
                <w:rFonts w:ascii="Times New Roman" w:hAnsi="Times New Roman" w:eastAsia="Times New Roman" w:cs="Calibri"/>
                <w:b/>
                <w:b/>
                <w:bCs/>
                <w:color w:val="000000"/>
                <w:sz w:val="24"/>
                <w:szCs w:val="24"/>
              </w:rPr>
            </w:pPr>
            <w:r>
              <w:rPr>
                <w:rFonts w:eastAsia="Times New Roman" w:cs="Calibri"/>
                <w:b/>
                <w:bCs/>
                <w:color w:val="000000"/>
                <w:kern w:val="0"/>
                <w:sz w:val="24"/>
                <w:szCs w:val="24"/>
                <w:lang w:val="ru-RU" w:eastAsia="ru-RU" w:bidi="ar-SA"/>
              </w:rPr>
              <w:t>о государственной регистрации права собственности</w:t>
            </w:r>
          </w:p>
        </w:tc>
        <w:tc>
          <w:tcPr>
            <w:tcW w:w="2806" w:type="dxa"/>
            <w:tcBorders/>
            <w:vAlign w:val="center"/>
          </w:tcPr>
          <w:p>
            <w:pPr>
              <w:pStyle w:val="Normal"/>
              <w:widowControl/>
              <w:tabs>
                <w:tab w:val="clear" w:pos="567"/>
                <w:tab w:val="left" w:pos="709" w:leader="none"/>
              </w:tabs>
              <w:spacing w:before="0" w:after="0"/>
              <w:jc w:val="center"/>
              <w:rPr>
                <w:rFonts w:ascii="Times New Roman" w:hAnsi="Times New Roman" w:eastAsia="Times New Roman" w:cs="Calibri"/>
                <w:b/>
                <w:b/>
                <w:bCs/>
                <w:color w:val="000000"/>
                <w:sz w:val="24"/>
                <w:szCs w:val="24"/>
              </w:rPr>
            </w:pPr>
            <w:r>
              <w:rPr>
                <w:rFonts w:eastAsia="Times New Roman" w:cs="Calibri"/>
                <w:b/>
                <w:bCs/>
                <w:color w:val="000000"/>
                <w:kern w:val="0"/>
                <w:sz w:val="24"/>
                <w:szCs w:val="24"/>
                <w:lang w:val="ru-RU" w:eastAsia="ru-RU" w:bidi="ar-SA"/>
              </w:rPr>
              <w:t>Адрес местонахождения</w:t>
            </w:r>
          </w:p>
          <w:p>
            <w:pPr>
              <w:pStyle w:val="Normal"/>
              <w:widowControl/>
              <w:tabs>
                <w:tab w:val="clear" w:pos="567"/>
                <w:tab w:val="left" w:pos="709" w:leader="none"/>
              </w:tabs>
              <w:spacing w:before="0" w:after="0"/>
              <w:jc w:val="center"/>
              <w:rPr>
                <w:rFonts w:ascii="Times New Roman" w:hAnsi="Times New Roman" w:eastAsia="Times New Roman" w:cs="Calibri"/>
                <w:b/>
                <w:b/>
                <w:bCs/>
                <w:color w:val="000000"/>
                <w:sz w:val="24"/>
                <w:szCs w:val="24"/>
              </w:rPr>
            </w:pPr>
            <w:r>
              <w:rPr>
                <w:rFonts w:eastAsia="Times New Roman" w:cs="Calibri"/>
                <w:b/>
                <w:bCs/>
                <w:color w:val="000000"/>
                <w:kern w:val="0"/>
                <w:sz w:val="24"/>
                <w:szCs w:val="24"/>
                <w:lang w:val="ru-RU" w:eastAsia="ru-RU" w:bidi="ar-SA"/>
              </w:rPr>
              <w:t>Имущества</w:t>
            </w:r>
          </w:p>
        </w:tc>
        <w:tc>
          <w:tcPr>
            <w:tcW w:w="3686" w:type="dxa"/>
            <w:tcBorders/>
            <w:vAlign w:val="center"/>
          </w:tcPr>
          <w:p>
            <w:pPr>
              <w:pStyle w:val="Normal"/>
              <w:widowControl/>
              <w:tabs>
                <w:tab w:val="clear" w:pos="567"/>
                <w:tab w:val="left" w:pos="709" w:leader="none"/>
              </w:tabs>
              <w:spacing w:before="0" w:after="0"/>
              <w:jc w:val="center"/>
              <w:rPr>
                <w:rFonts w:ascii="Times New Roman" w:hAnsi="Times New Roman" w:eastAsia="Times New Roman" w:cs="Calibri"/>
                <w:b/>
                <w:b/>
                <w:bCs/>
                <w:color w:val="000000"/>
                <w:sz w:val="24"/>
                <w:szCs w:val="24"/>
              </w:rPr>
            </w:pPr>
            <w:r>
              <w:rPr>
                <w:rFonts w:eastAsia="Times New Roman" w:cs="Calibri"/>
                <w:b/>
                <w:bCs/>
                <w:color w:val="000000"/>
                <w:kern w:val="0"/>
                <w:sz w:val="24"/>
                <w:szCs w:val="24"/>
                <w:lang w:val="ru-RU" w:eastAsia="ru-RU" w:bidi="ar-SA"/>
              </w:rPr>
              <w:t>Стоимость</w:t>
            </w:r>
          </w:p>
          <w:p>
            <w:pPr>
              <w:pStyle w:val="Normal"/>
              <w:widowControl/>
              <w:tabs>
                <w:tab w:val="clear" w:pos="567"/>
                <w:tab w:val="left" w:pos="709" w:leader="none"/>
              </w:tabs>
              <w:spacing w:before="0" w:after="0"/>
              <w:jc w:val="center"/>
              <w:rPr>
                <w:rFonts w:ascii="Times New Roman" w:hAnsi="Times New Roman" w:eastAsia="Times New Roman" w:cs="Calibri"/>
                <w:bCs/>
                <w:color w:val="000000"/>
                <w:sz w:val="24"/>
                <w:szCs w:val="24"/>
              </w:rPr>
            </w:pPr>
            <w:r>
              <w:rPr>
                <w:rFonts w:eastAsia="Times New Roman" w:cs="Calibri"/>
                <w:b/>
                <w:bCs/>
                <w:color w:val="000000"/>
                <w:kern w:val="0"/>
                <w:sz w:val="24"/>
                <w:szCs w:val="24"/>
                <w:lang w:val="ru-RU" w:eastAsia="ru-RU" w:bidi="ar-SA"/>
              </w:rPr>
              <w:t>Имущества</w:t>
            </w:r>
            <w:r>
              <w:rPr>
                <w:rFonts w:eastAsia="Times New Roman" w:cs="Calibri"/>
                <w:bCs/>
                <w:color w:val="000000"/>
                <w:kern w:val="0"/>
                <w:sz w:val="24"/>
                <w:szCs w:val="24"/>
                <w:lang w:val="ru-RU" w:eastAsia="ru-RU" w:bidi="ar-SA"/>
              </w:rPr>
              <w:t xml:space="preserve"> </w:t>
            </w:r>
          </w:p>
          <w:p>
            <w:pPr>
              <w:pStyle w:val="Normal"/>
              <w:widowControl/>
              <w:tabs>
                <w:tab w:val="clear" w:pos="567"/>
                <w:tab w:val="left" w:pos="709" w:leader="none"/>
              </w:tabs>
              <w:spacing w:before="0" w:after="0"/>
              <w:jc w:val="center"/>
              <w:rPr>
                <w:rFonts w:ascii="Times New Roman" w:hAnsi="Times New Roman" w:eastAsia="Times New Roman" w:cs="Calibri"/>
                <w:b/>
                <w:b/>
                <w:bCs/>
                <w:color w:val="000000"/>
                <w:sz w:val="24"/>
                <w:szCs w:val="24"/>
              </w:rPr>
            </w:pPr>
            <w:r>
              <w:rPr>
                <w:rFonts w:eastAsia="Times New Roman" w:cs="Calibri"/>
                <w:b/>
                <w:bCs/>
                <w:color w:val="000000"/>
                <w:kern w:val="0"/>
                <w:sz w:val="24"/>
                <w:szCs w:val="24"/>
                <w:lang w:val="ru-RU" w:eastAsia="ru-RU" w:bidi="ar-SA"/>
              </w:rPr>
              <w:t>без НДС</w:t>
            </w:r>
          </w:p>
        </w:tc>
      </w:tr>
      <w:tr>
        <w:trPr>
          <w:trHeight w:val="1417" w:hRule="atLeast"/>
        </w:trPr>
        <w:tc>
          <w:tcPr>
            <w:tcW w:w="560" w:type="dxa"/>
            <w:tcBorders/>
            <w:vAlign w:val="center"/>
          </w:tcPr>
          <w:p>
            <w:pPr>
              <w:pStyle w:val="Normal"/>
              <w:widowControl/>
              <w:tabs>
                <w:tab w:val="clear" w:pos="567"/>
                <w:tab w:val="left" w:pos="709" w:leader="none"/>
              </w:tabs>
              <w:suppressAutoHyphens w:val="true"/>
              <w:spacing w:lineRule="atLeast" w:line="276" w:before="0" w:after="200"/>
              <w:jc w:val="center"/>
              <w:rPr>
                <w:rFonts w:ascii="Times New Roman" w:hAnsi="Times New Roman" w:eastAsia="Times New Roman" w:cs="Calibri"/>
                <w:sz w:val="24"/>
                <w:szCs w:val="24"/>
                <w:lang w:eastAsia="zh-CN"/>
              </w:rPr>
            </w:pPr>
            <w:r>
              <w:rPr>
                <w:rFonts w:eastAsia="Times New Roman" w:cs="Calibri"/>
                <w:kern w:val="0"/>
                <w:sz w:val="24"/>
                <w:szCs w:val="24"/>
                <w:lang w:val="ru-RU" w:eastAsia="zh-CN" w:bidi="ar-SA"/>
              </w:rPr>
              <w:t>1.</w:t>
            </w:r>
          </w:p>
        </w:tc>
        <w:tc>
          <w:tcPr>
            <w:tcW w:w="1957" w:type="dxa"/>
            <w:tcBorders/>
            <w:vAlign w:val="center"/>
          </w:tcPr>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Склад смешанных товаров</w:t>
            </w:r>
          </w:p>
        </w:tc>
        <w:tc>
          <w:tcPr>
            <w:tcW w:w="3260" w:type="dxa"/>
            <w:tcBorders/>
            <w:vAlign w:val="center"/>
          </w:tcPr>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 xml:space="preserve">Площадь - 406,8 кв. м., </w:t>
            </w:r>
          </w:p>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Кадастровый номер - 09:02:0000000:15694.</w:t>
            </w:r>
          </w:p>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Количество этажей – 1</w:t>
            </w:r>
          </w:p>
          <w:p>
            <w:pPr>
              <w:pStyle w:val="Normal"/>
              <w:widowControl/>
              <w:tabs>
                <w:tab w:val="clear" w:pos="567"/>
                <w:tab w:val="left" w:pos="709" w:leader="none"/>
              </w:tabs>
              <w:spacing w:before="0" w:after="0"/>
              <w:jc w:val="left"/>
              <w:rPr>
                <w:rFonts w:ascii="Times New Roman" w:hAnsi="Times New Roman" w:eastAsia="Times New Roman" w:cs="Calibri"/>
                <w:sz w:val="24"/>
                <w:szCs w:val="24"/>
              </w:rPr>
            </w:pPr>
            <w:r>
              <w:rPr>
                <w:rFonts w:eastAsia="Times New Roman" w:cs="Calibri"/>
                <w:bCs/>
                <w:kern w:val="0"/>
                <w:sz w:val="24"/>
                <w:szCs w:val="24"/>
                <w:lang w:val="ru-RU" w:eastAsia="ru-RU" w:bidi="ar-SA"/>
              </w:rPr>
              <w:t>Назначение: Нежилое здание</w:t>
            </w:r>
          </w:p>
        </w:tc>
        <w:tc>
          <w:tcPr>
            <w:tcW w:w="3006" w:type="dxa"/>
            <w:tcBorders/>
            <w:vAlign w:val="center"/>
          </w:tcPr>
          <w:p>
            <w:pPr>
              <w:pStyle w:val="Normal"/>
              <w:widowControl/>
              <w:tabs>
                <w:tab w:val="clear" w:pos="567"/>
                <w:tab w:val="left" w:pos="709" w:leader="none"/>
              </w:tabs>
              <w:spacing w:before="0" w:after="0"/>
              <w:jc w:val="left"/>
              <w:rPr>
                <w:rFonts w:ascii="Times New Roman" w:hAnsi="Times New Roman" w:eastAsia="Times New Roman" w:cs="Calibri"/>
                <w:sz w:val="24"/>
                <w:szCs w:val="24"/>
              </w:rPr>
            </w:pPr>
            <w:r>
              <w:rPr>
                <w:rFonts w:eastAsia="Times New Roman" w:cs="Calibri"/>
                <w:kern w:val="0"/>
                <w:sz w:val="24"/>
                <w:szCs w:val="24"/>
                <w:lang w:val="ru-RU" w:eastAsia="ru-RU" w:bidi="ar-SA"/>
              </w:rPr>
              <w:t xml:space="preserve">№ </w:t>
            </w:r>
            <w:r>
              <w:rPr>
                <w:rFonts w:eastAsia="Times New Roman" w:cs="Calibri"/>
                <w:kern w:val="0"/>
                <w:sz w:val="24"/>
                <w:szCs w:val="24"/>
                <w:lang w:val="ru-RU" w:eastAsia="ru-RU" w:bidi="ar-SA"/>
              </w:rPr>
              <w:t>09-09-01/005/2008-184  </w:t>
            </w:r>
          </w:p>
          <w:p>
            <w:pPr>
              <w:pStyle w:val="Normal"/>
              <w:widowControl/>
              <w:tabs>
                <w:tab w:val="clear" w:pos="567"/>
                <w:tab w:val="left" w:pos="709" w:leader="none"/>
              </w:tabs>
              <w:spacing w:before="0" w:after="0"/>
              <w:jc w:val="left"/>
              <w:rPr>
                <w:rFonts w:ascii="Times New Roman" w:hAnsi="Times New Roman" w:eastAsia="Times New Roman" w:cs="Calibri"/>
                <w:sz w:val="24"/>
                <w:szCs w:val="24"/>
              </w:rPr>
            </w:pPr>
            <w:r>
              <w:rPr>
                <w:rFonts w:eastAsia="Times New Roman" w:cs="Calibri"/>
                <w:kern w:val="0"/>
                <w:sz w:val="24"/>
                <w:szCs w:val="24"/>
                <w:lang w:val="ru-RU" w:eastAsia="ru-RU" w:bidi="ar-SA"/>
              </w:rPr>
              <w:t>от 29.02.2008</w:t>
            </w:r>
          </w:p>
        </w:tc>
        <w:tc>
          <w:tcPr>
            <w:tcW w:w="2806" w:type="dxa"/>
            <w:vMerge w:val="restart"/>
            <w:tcBorders/>
            <w:vAlign w:val="center"/>
          </w:tcPr>
          <w:p>
            <w:pPr>
              <w:pStyle w:val="Normal"/>
              <w:widowControl/>
              <w:spacing w:before="0" w:after="0"/>
              <w:jc w:val="left"/>
              <w:rPr>
                <w:rFonts w:ascii="Times New Roman" w:hAnsi="Times New Roman"/>
                <w:sz w:val="24"/>
                <w:szCs w:val="24"/>
              </w:rPr>
            </w:pPr>
            <w:r>
              <w:rPr>
                <w:rFonts w:eastAsia="Calibri" w:cs="Times New Roman"/>
                <w:kern w:val="0"/>
                <w:sz w:val="24"/>
                <w:szCs w:val="24"/>
                <w:lang w:val="ru-RU" w:eastAsia="ru-RU" w:bidi="ar-SA"/>
              </w:rPr>
              <w:t xml:space="preserve">Карачаево-Черкесская Республика, Прикубанский р-н, п. Ударный, </w:t>
            </w:r>
          </w:p>
          <w:p>
            <w:pPr>
              <w:pStyle w:val="Normal"/>
              <w:widowControl/>
              <w:spacing w:before="0" w:after="0"/>
              <w:jc w:val="left"/>
              <w:rPr>
                <w:rFonts w:ascii="Times New Roman" w:hAnsi="Times New Roman"/>
                <w:sz w:val="24"/>
                <w:szCs w:val="24"/>
              </w:rPr>
            </w:pPr>
            <w:r>
              <w:rPr>
                <w:rFonts w:eastAsia="Calibri" w:cs="Times New Roman"/>
                <w:kern w:val="0"/>
                <w:sz w:val="24"/>
                <w:szCs w:val="24"/>
                <w:lang w:val="ru-RU" w:eastAsia="ru-RU" w:bidi="ar-SA"/>
              </w:rPr>
              <w:t>ул. Молодежная, д 11</w:t>
            </w:r>
          </w:p>
        </w:tc>
        <w:tc>
          <w:tcPr>
            <w:tcW w:w="3686" w:type="dxa"/>
            <w:tcBorders/>
          </w:tcPr>
          <w:p>
            <w:pPr>
              <w:pStyle w:val="Normal"/>
              <w:widowControl/>
              <w:tabs>
                <w:tab w:val="clear" w:pos="567"/>
                <w:tab w:val="left" w:pos="709" w:leader="none"/>
              </w:tabs>
              <w:spacing w:before="0" w:after="0"/>
              <w:jc w:val="left"/>
              <w:rPr>
                <w:rFonts w:cs="Calibri"/>
                <w:sz w:val="24"/>
                <w:szCs w:val="24"/>
              </w:rPr>
            </w:pPr>
            <w:r>
              <w:rPr>
                <w:rFonts w:eastAsia="Calibri" w:cs="Calibri" w:ascii="Calibri" w:hAnsi="Calibri"/>
                <w:kern w:val="0"/>
                <w:sz w:val="20"/>
                <w:szCs w:val="20"/>
                <w:lang w:val="ru-RU" w:eastAsia="ru-RU" w:bidi="ar-SA"/>
              </w:rPr>
            </w:r>
          </w:p>
        </w:tc>
      </w:tr>
      <w:tr>
        <w:trPr>
          <w:trHeight w:val="1413" w:hRule="atLeast"/>
        </w:trPr>
        <w:tc>
          <w:tcPr>
            <w:tcW w:w="560" w:type="dxa"/>
            <w:tcBorders/>
            <w:vAlign w:val="center"/>
          </w:tcPr>
          <w:p>
            <w:pPr>
              <w:pStyle w:val="Normal"/>
              <w:widowControl/>
              <w:tabs>
                <w:tab w:val="clear" w:pos="567"/>
                <w:tab w:val="left" w:pos="709" w:leader="none"/>
              </w:tabs>
              <w:suppressAutoHyphens w:val="true"/>
              <w:spacing w:lineRule="atLeast" w:line="276" w:before="0" w:after="200"/>
              <w:jc w:val="center"/>
              <w:rPr>
                <w:rFonts w:ascii="Times New Roman" w:hAnsi="Times New Roman" w:eastAsia="Times New Roman" w:cs="Calibri"/>
                <w:sz w:val="24"/>
                <w:szCs w:val="24"/>
                <w:lang w:eastAsia="zh-CN"/>
              </w:rPr>
            </w:pPr>
            <w:r>
              <w:rPr>
                <w:rFonts w:eastAsia="Times New Roman" w:cs="Calibri"/>
                <w:kern w:val="0"/>
                <w:sz w:val="24"/>
                <w:szCs w:val="24"/>
                <w:lang w:val="ru-RU" w:eastAsia="zh-CN" w:bidi="ar-SA"/>
              </w:rPr>
              <w:t>2.</w:t>
            </w:r>
          </w:p>
        </w:tc>
        <w:tc>
          <w:tcPr>
            <w:tcW w:w="1957" w:type="dxa"/>
            <w:tcBorders/>
            <w:vAlign w:val="center"/>
          </w:tcPr>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Часть здания – склад,</w:t>
            </w:r>
          </w:p>
        </w:tc>
        <w:tc>
          <w:tcPr>
            <w:tcW w:w="3260" w:type="dxa"/>
            <w:tcBorders/>
            <w:vAlign w:val="center"/>
          </w:tcPr>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Площадь – 22,9 кв. м.</w:t>
            </w:r>
          </w:p>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Кадастровый номер – 09:02:0310101:592.</w:t>
            </w:r>
          </w:p>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Количество этажей – 1</w:t>
            </w:r>
          </w:p>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Назначение: Нежилое здание</w:t>
            </w:r>
          </w:p>
        </w:tc>
        <w:tc>
          <w:tcPr>
            <w:tcW w:w="3006" w:type="dxa"/>
            <w:tcBorders/>
            <w:vAlign w:val="center"/>
          </w:tcPr>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 xml:space="preserve">№ </w:t>
            </w:r>
            <w:r>
              <w:rPr>
                <w:rFonts w:eastAsia="Times New Roman" w:cs="Calibri"/>
                <w:bCs/>
                <w:kern w:val="0"/>
                <w:sz w:val="24"/>
                <w:szCs w:val="24"/>
                <w:lang w:val="ru-RU" w:eastAsia="ru-RU" w:bidi="ar-SA"/>
              </w:rPr>
              <w:t>09-09-01/005/2008-185  </w:t>
            </w:r>
          </w:p>
          <w:p>
            <w:pPr>
              <w:pStyle w:val="Normal"/>
              <w:widowControl/>
              <w:tabs>
                <w:tab w:val="clear" w:pos="567"/>
                <w:tab w:val="left" w:pos="709" w:leader="none"/>
              </w:tabs>
              <w:spacing w:before="0" w:after="0"/>
              <w:jc w:val="left"/>
              <w:rPr>
                <w:rFonts w:ascii="Times New Roman" w:hAnsi="Times New Roman" w:eastAsia="Times New Roman" w:cs="Calibri"/>
                <w:bCs/>
                <w:sz w:val="24"/>
                <w:szCs w:val="24"/>
              </w:rPr>
            </w:pPr>
            <w:r>
              <w:rPr>
                <w:rFonts w:eastAsia="Times New Roman" w:cs="Calibri"/>
                <w:bCs/>
                <w:kern w:val="0"/>
                <w:sz w:val="24"/>
                <w:szCs w:val="24"/>
                <w:lang w:val="ru-RU" w:eastAsia="ru-RU" w:bidi="ar-SA"/>
              </w:rPr>
              <w:t>от 28.02.2008</w:t>
            </w:r>
          </w:p>
        </w:tc>
        <w:tc>
          <w:tcPr>
            <w:tcW w:w="2806" w:type="dxa"/>
            <w:vMerge w:val="continue"/>
            <w:tcBorders/>
            <w:vAlign w:val="center"/>
          </w:tcPr>
          <w:p>
            <w:pPr>
              <w:pStyle w:val="Normal"/>
              <w:widowControl/>
              <w:tabs>
                <w:tab w:val="clear" w:pos="567"/>
                <w:tab w:val="left" w:pos="709" w:leader="none"/>
              </w:tabs>
              <w:suppressAutoHyphens w:val="true"/>
              <w:spacing w:lineRule="atLeast" w:line="276" w:before="0" w:after="200"/>
              <w:jc w:val="left"/>
              <w:rPr>
                <w:rFonts w:ascii="Times New Roman" w:hAnsi="Times New Roman" w:eastAsia="Times New Roman" w:cs="Calibri"/>
                <w:sz w:val="24"/>
                <w:szCs w:val="24"/>
                <w:lang w:eastAsia="zh-CN"/>
              </w:rPr>
            </w:pPr>
            <w:r>
              <w:rPr>
                <w:rFonts w:eastAsia="Times New Roman" w:cs="Calibri"/>
                <w:kern w:val="0"/>
                <w:sz w:val="20"/>
                <w:szCs w:val="20"/>
                <w:lang w:val="ru-RU" w:eastAsia="ru-RU" w:bidi="ar-SA"/>
              </w:rPr>
            </w:r>
          </w:p>
        </w:tc>
        <w:tc>
          <w:tcPr>
            <w:tcW w:w="3686" w:type="dxa"/>
            <w:tcBorders/>
          </w:tcPr>
          <w:p>
            <w:pPr>
              <w:pStyle w:val="Normal"/>
              <w:widowControl/>
              <w:tabs>
                <w:tab w:val="clear" w:pos="567"/>
                <w:tab w:val="left" w:pos="709" w:leader="none"/>
              </w:tabs>
              <w:spacing w:before="0" w:after="0"/>
              <w:jc w:val="left"/>
              <w:rPr>
                <w:rFonts w:cs="Calibri"/>
                <w:bCs/>
                <w:sz w:val="24"/>
                <w:szCs w:val="24"/>
              </w:rPr>
            </w:pPr>
            <w:r>
              <w:rPr>
                <w:rFonts w:eastAsia="Calibri" w:cs="Calibri" w:ascii="Calibri" w:hAnsi="Calibri"/>
                <w:bCs/>
                <w:kern w:val="0"/>
                <w:sz w:val="20"/>
                <w:szCs w:val="20"/>
                <w:lang w:val="ru-RU" w:eastAsia="ru-RU" w:bidi="ar-SA"/>
              </w:rPr>
            </w:r>
          </w:p>
        </w:tc>
      </w:tr>
    </w:tbl>
    <w:p>
      <w:pPr>
        <w:pStyle w:val="Normal"/>
        <w:ind w:left="709" w:hanging="0"/>
        <w:jc w:val="center"/>
        <w:rPr>
          <w:sz w:val="20"/>
          <w:szCs w:val="20"/>
        </w:rPr>
      </w:pPr>
      <w:r>
        <w:rPr>
          <w:sz w:val="20"/>
          <w:szCs w:val="20"/>
        </w:rPr>
      </w:r>
    </w:p>
    <w:tbl>
      <w:tblPr>
        <w:tblW w:w="9747" w:type="dxa"/>
        <w:jc w:val="center"/>
        <w:tblInd w:w="0" w:type="dxa"/>
        <w:tblLayout w:type="fixed"/>
        <w:tblCellMar>
          <w:top w:w="0" w:type="dxa"/>
          <w:left w:w="108" w:type="dxa"/>
          <w:bottom w:w="0" w:type="dxa"/>
          <w:right w:w="108" w:type="dxa"/>
        </w:tblCellMar>
        <w:tblLook w:val="00a0" w:noVBand="0" w:noHBand="0" w:lastColumn="0" w:firstColumn="1" w:lastRow="0" w:firstRow="1"/>
      </w:tblPr>
      <w:tblGrid>
        <w:gridCol w:w="4928"/>
        <w:gridCol w:w="4818"/>
      </w:tblGrid>
      <w:tr>
        <w:trPr/>
        <w:tc>
          <w:tcPr>
            <w:tcW w:w="4928" w:type="dxa"/>
            <w:tcBorders/>
            <w:shd w:color="auto" w:fill="auto" w:val="clear"/>
          </w:tcPr>
          <w:p>
            <w:pPr>
              <w:pStyle w:val="Normal"/>
              <w:widowControl w:val="false"/>
              <w:spacing w:before="120" w:after="0"/>
              <w:rPr>
                <w:b/>
                <w:b/>
                <w:sz w:val="28"/>
                <w:szCs w:val="28"/>
              </w:rPr>
            </w:pPr>
            <w:r>
              <w:rPr>
                <w:b/>
                <w:sz w:val="28"/>
                <w:szCs w:val="28"/>
              </w:rPr>
              <w:t>ПРОДАВЕЦ:</w:t>
            </w:r>
          </w:p>
        </w:tc>
        <w:tc>
          <w:tcPr>
            <w:tcW w:w="4818" w:type="dxa"/>
            <w:tcBorders/>
            <w:shd w:color="auto" w:fill="auto" w:val="clear"/>
          </w:tcPr>
          <w:p>
            <w:pPr>
              <w:pStyle w:val="Normal"/>
              <w:widowControl w:val="false"/>
              <w:spacing w:before="120" w:after="0"/>
              <w:rPr>
                <w:b/>
                <w:b/>
                <w:sz w:val="28"/>
                <w:szCs w:val="28"/>
              </w:rPr>
            </w:pPr>
            <w:r>
              <w:rPr>
                <w:b/>
                <w:sz w:val="28"/>
                <w:szCs w:val="28"/>
              </w:rPr>
              <w:t>ПОКУПАТЕЛЬ:</w:t>
            </w:r>
          </w:p>
        </w:tc>
      </w:tr>
      <w:tr>
        <w:trPr/>
        <w:tc>
          <w:tcPr>
            <w:tcW w:w="4928" w:type="dxa"/>
            <w:tcBorders/>
            <w:shd w:color="auto" w:fill="auto" w:val="clear"/>
          </w:tcPr>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r>
          </w:p>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t>ПАО «РусГидро»</w:t>
            </w:r>
          </w:p>
          <w:p>
            <w:pPr>
              <w:pStyle w:val="Body1"/>
              <w:widowControl w:val="false"/>
              <w:spacing w:lineRule="auto" w:line="240" w:before="0" w:after="0"/>
              <w:ind w:left="0" w:hanging="0"/>
              <w:jc w:val="left"/>
              <w:rPr>
                <w:rFonts w:ascii="Times New Roman" w:hAnsi="Times New Roman"/>
                <w:sz w:val="28"/>
                <w:szCs w:val="28"/>
                <w:lang w:val="ru-RU"/>
              </w:rPr>
            </w:pPr>
            <w:r>
              <w:rPr>
                <w:rFonts w:ascii="Times New Roman" w:hAnsi="Times New Roman"/>
                <w:sz w:val="28"/>
                <w:szCs w:val="28"/>
                <w:lang w:val="ru-RU"/>
              </w:rPr>
            </w:r>
          </w:p>
        </w:tc>
        <w:tc>
          <w:tcPr>
            <w:tcW w:w="4818" w:type="dxa"/>
            <w:tcBorders/>
            <w:shd w:color="auto" w:fill="auto" w:val="clear"/>
          </w:tcPr>
          <w:p>
            <w:pPr>
              <w:pStyle w:val="Body1"/>
              <w:widowControl w:val="false"/>
              <w:spacing w:lineRule="auto" w:line="240" w:before="0" w:after="0"/>
              <w:ind w:left="0" w:hanging="0"/>
              <w:jc w:val="left"/>
              <w:rPr>
                <w:rFonts w:ascii="Times New Roman" w:hAnsi="Times New Roman"/>
                <w:b/>
                <w:b/>
                <w:sz w:val="28"/>
                <w:szCs w:val="28"/>
                <w:lang w:val="ru-RU"/>
              </w:rPr>
            </w:pPr>
            <w:r>
              <w:rPr>
                <w:rFonts w:ascii="Times New Roman" w:hAnsi="Times New Roman"/>
                <w:b/>
                <w:sz w:val="28"/>
                <w:szCs w:val="28"/>
                <w:lang w:val="ru-RU"/>
              </w:rPr>
            </w:r>
          </w:p>
          <w:p>
            <w:pPr>
              <w:pStyle w:val="Normal"/>
              <w:widowControl w:val="false"/>
              <w:rPr>
                <w:sz w:val="28"/>
                <w:szCs w:val="28"/>
              </w:rPr>
            </w:pPr>
            <w:r>
              <w:rPr>
                <w:sz w:val="28"/>
                <w:szCs w:val="28"/>
              </w:rPr>
            </w:r>
          </w:p>
        </w:tc>
      </w:tr>
      <w:tr>
        <w:trPr/>
        <w:tc>
          <w:tcPr>
            <w:tcW w:w="4928" w:type="dxa"/>
            <w:tcBorders/>
            <w:shd w:color="auto" w:fill="auto" w:val="clear"/>
          </w:tcPr>
          <w:p>
            <w:pPr>
              <w:pStyle w:val="Normal"/>
              <w:widowControl w:val="false"/>
              <w:spacing w:before="120" w:after="0"/>
              <w:rPr>
                <w:sz w:val="28"/>
                <w:szCs w:val="28"/>
              </w:rPr>
            </w:pPr>
            <w:r>
              <w:rPr>
                <w:sz w:val="28"/>
                <w:szCs w:val="28"/>
              </w:rPr>
            </w:r>
          </w:p>
          <w:p>
            <w:pPr>
              <w:pStyle w:val="Normal"/>
              <w:widowControl w:val="false"/>
              <w:rPr>
                <w:sz w:val="28"/>
                <w:szCs w:val="28"/>
              </w:rPr>
            </w:pPr>
            <w:r>
              <w:rPr>
                <w:sz w:val="28"/>
                <w:szCs w:val="28"/>
              </w:rPr>
            </w:r>
          </w:p>
          <w:p>
            <w:pPr>
              <w:pStyle w:val="Normal"/>
              <w:widowControl w:val="false"/>
              <w:rPr>
                <w:sz w:val="28"/>
                <w:szCs w:val="28"/>
              </w:rPr>
            </w:pPr>
            <w:r>
              <w:rPr>
                <w:sz w:val="28"/>
                <w:szCs w:val="28"/>
              </w:rPr>
            </w:r>
          </w:p>
        </w:tc>
        <w:tc>
          <w:tcPr>
            <w:tcW w:w="4818" w:type="dxa"/>
            <w:tcBorders/>
            <w:shd w:color="auto" w:fill="auto" w:val="clear"/>
          </w:tcPr>
          <w:p>
            <w:pPr>
              <w:pStyle w:val="Body1"/>
              <w:widowControl w:val="false"/>
              <w:spacing w:lineRule="auto" w:line="240" w:before="0" w:after="0"/>
              <w:ind w:left="0" w:hanging="0"/>
              <w:jc w:val="left"/>
              <w:rPr>
                <w:rFonts w:ascii="Times New Roman" w:hAnsi="Times New Roman"/>
                <w:sz w:val="28"/>
                <w:szCs w:val="28"/>
                <w:lang w:val="ru-RU"/>
              </w:rPr>
            </w:pPr>
            <w:r>
              <w:rPr>
                <w:rFonts w:ascii="Times New Roman" w:hAnsi="Times New Roman"/>
                <w:sz w:val="28"/>
                <w:szCs w:val="28"/>
                <w:lang w:val="ru-RU"/>
              </w:rPr>
            </w:r>
          </w:p>
        </w:tc>
      </w:tr>
    </w:tbl>
    <w:p>
      <w:pPr>
        <w:sectPr>
          <w:footerReference w:type="default" r:id="rId18"/>
          <w:type w:val="nextPage"/>
          <w:pgSz w:orient="landscape" w:w="16838" w:h="11906"/>
          <w:pgMar w:left="1418" w:right="1134" w:gutter="0" w:header="0" w:top="1134" w:footer="0" w:bottom="567"/>
          <w:pgNumType w:fmt="decimal"/>
          <w:formProt w:val="false"/>
          <w:textDirection w:val="lrTb"/>
          <w:docGrid w:type="default" w:linePitch="360" w:charSpace="4294963199"/>
        </w:sectPr>
      </w:pPr>
    </w:p>
    <w:p>
      <w:pPr>
        <w:pStyle w:val="1"/>
        <w:numPr>
          <w:ilvl w:val="0"/>
          <w:numId w:val="0"/>
        </w:numPr>
        <w:ind w:left="1134" w:hanging="0"/>
        <w:jc w:val="right"/>
        <w:rPr>
          <w:rFonts w:ascii="Times New Roman" w:hAnsi="Times New Roman"/>
          <w:b w:val="false"/>
          <w:b w:val="false"/>
          <w:sz w:val="24"/>
          <w:szCs w:val="24"/>
        </w:rPr>
      </w:pPr>
      <w:bookmarkStart w:id="583" w:name="_Ref468102866"/>
      <w:bookmarkStart w:id="584" w:name="_Ref384118604"/>
      <w:bookmarkStart w:id="585" w:name="_Ref384117211"/>
      <w:bookmarkStart w:id="586" w:name="_Toc536798433"/>
      <w:bookmarkStart w:id="587" w:name="_Ref513729886"/>
      <w:r>
        <w:rPr>
          <w:rFonts w:ascii="Times New Roman" w:hAnsi="Times New Roman"/>
          <w:b w:val="false"/>
          <w:sz w:val="24"/>
          <w:szCs w:val="24"/>
        </w:rPr>
        <w:t>Приложение № 3</w:t>
      </w:r>
    </w:p>
    <w:p>
      <w:pPr>
        <w:pStyle w:val="1"/>
        <w:keepNext w:val="false"/>
        <w:keepLines w:val="false"/>
        <w:pageBreakBefore w:val="false"/>
        <w:numPr>
          <w:ilvl w:val="0"/>
          <w:numId w:val="0"/>
        </w:numPr>
        <w:ind w:left="1134" w:hanging="1134"/>
        <w:jc w:val="center"/>
        <w:rPr>
          <w:rFonts w:ascii="Times New Roman" w:hAnsi="Times New Roman"/>
          <w:sz w:val="28"/>
          <w:szCs w:val="28"/>
        </w:rPr>
      </w:pPr>
      <w:bookmarkStart w:id="588" w:name="_Toc536798433"/>
      <w:bookmarkStart w:id="589" w:name="_Ref513729886"/>
      <w:r>
        <w:rPr>
          <w:rFonts w:ascii="Times New Roman" w:hAnsi="Times New Roman"/>
          <w:sz w:val="28"/>
          <w:szCs w:val="28"/>
        </w:rPr>
        <w:t>ТРЕБОВАНИЯ К УЧАСТНИКАМ</w:t>
      </w:r>
      <w:bookmarkEnd w:id="588"/>
      <w:bookmarkEnd w:id="589"/>
      <w:r>
        <w:rPr>
          <w:rFonts w:ascii="Times New Roman" w:hAnsi="Times New Roman"/>
          <w:sz w:val="28"/>
          <w:szCs w:val="28"/>
        </w:rPr>
        <w:t xml:space="preserve"> ПРОДАЖИ БЕЗ ОБЪЯВЛЕНИЯ ЦЕНЫ</w:t>
      </w:r>
    </w:p>
    <w:p>
      <w:pPr>
        <w:pStyle w:val="Normal"/>
        <w:rPr>
          <w:sz w:val="28"/>
          <w:szCs w:val="28"/>
          <w:lang w:val="ru-RU"/>
        </w:rPr>
      </w:pPr>
      <w:r>
        <w:rPr/>
      </w:r>
      <w:bookmarkStart w:id="590" w:name="_Ref513729904"/>
      <w:bookmarkStart w:id="591" w:name="_Ref513729904"/>
    </w:p>
    <w:p>
      <w:pPr>
        <w:pStyle w:val="Normal"/>
        <w:rPr>
          <w:b/>
          <w:b/>
        </w:rPr>
      </w:pPr>
      <w:r>
        <w:rPr/>
        <w:t xml:space="preserve">Чтобы претендовать на победу в Процедуре и получение права заключить Договор с Продавцом, Участник должен отвечать нижеуказанным требованиям и в обязательном порядке включить в состав Заявки нижеуказанные документы, подтверждающие его соответствие установленным Документацией требованиям: </w:t>
      </w:r>
    </w:p>
    <w:p>
      <w:pPr>
        <w:pStyle w:val="2"/>
        <w:keepNext w:val="false"/>
        <w:widowControl w:val="false"/>
        <w:numPr>
          <w:ilvl w:val="0"/>
          <w:numId w:val="0"/>
        </w:numPr>
        <w:tabs>
          <w:tab w:val="left" w:pos="1560" w:leader="none"/>
          <w:tab w:val="left" w:pos="6663" w:leader="none"/>
        </w:tabs>
        <w:suppressAutoHyphens w:val="false"/>
        <w:ind w:left="0" w:hanging="0"/>
        <w:jc w:val="center"/>
        <w:rPr>
          <w:sz w:val="28"/>
        </w:rPr>
      </w:pPr>
      <w:bookmarkStart w:id="592" w:name="_Ref513729904"/>
      <w:bookmarkStart w:id="593" w:name="_Toc536798434"/>
      <w:bookmarkStart w:id="594" w:name="_Ref524091588"/>
      <w:bookmarkStart w:id="595" w:name="_Toc514814130"/>
      <w:bookmarkStart w:id="596" w:name="_Toc514805485"/>
      <w:bookmarkStart w:id="597" w:name="_Ref514617948"/>
      <w:bookmarkStart w:id="598" w:name="_Ref513732930"/>
      <w:r>
        <w:rPr>
          <w:sz w:val="28"/>
        </w:rPr>
        <w:t>Требования</w:t>
      </w:r>
      <w:bookmarkEnd w:id="592"/>
      <w:bookmarkEnd w:id="595"/>
      <w:bookmarkEnd w:id="596"/>
      <w:bookmarkEnd w:id="597"/>
      <w:bookmarkEnd w:id="598"/>
      <w:r>
        <w:rPr>
          <w:sz w:val="28"/>
        </w:rPr>
        <w:t xml:space="preserve"> к Участникам и к документам, подтверждающим соответствие Участника установленным требованиям</w:t>
      </w:r>
      <w:bookmarkEnd w:id="593"/>
      <w:bookmarkEnd w:id="594"/>
    </w:p>
    <w:tbl>
      <w:tblPr>
        <w:tblW w:w="10087"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674"/>
        <w:gridCol w:w="3137"/>
        <w:gridCol w:w="6276"/>
      </w:tblGrid>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 xml:space="preserve">№ </w:t>
            </w:r>
            <w:r>
              <w:rPr>
                <w:b/>
              </w:rPr>
              <w:t>п/п</w:t>
            </w:r>
          </w:p>
        </w:tc>
        <w:tc>
          <w:tcPr>
            <w:tcW w:w="313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Требования к Участникам</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Требования к документам, подтверждающим соответствие Участника установленным требованиям</w:t>
            </w:r>
          </w:p>
        </w:tc>
      </w:tr>
      <w:tr>
        <w:trPr/>
        <w:tc>
          <w:tcPr>
            <w:tcW w:w="67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599" w:name="_Ref513735397"/>
            <w:bookmarkStart w:id="600" w:name="_Ref513735397"/>
            <w:bookmarkEnd w:id="600"/>
          </w:p>
        </w:tc>
        <w:tc>
          <w:tcPr>
            <w:tcW w:w="313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8"/>
                <w:szCs w:val="28"/>
                <w:lang w:val="ru-RU"/>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u w:val="single"/>
              </w:rPr>
            </w:pPr>
            <w:bookmarkStart w:id="601" w:name="_Ref513814605"/>
            <w:r>
              <w:rPr>
                <w:b/>
                <w:u w:val="single"/>
              </w:rPr>
              <w:t>Участник – физическое лицо</w:t>
            </w:r>
            <w:bookmarkEnd w:id="601"/>
          </w:p>
          <w:p>
            <w:pPr>
              <w:pStyle w:val="Style39"/>
              <w:widowControl w:val="false"/>
              <w:numPr>
                <w:ilvl w:val="4"/>
                <w:numId w:val="23"/>
              </w:numPr>
              <w:tabs>
                <w:tab w:val="clear" w:pos="567"/>
                <w:tab w:val="left" w:pos="1134" w:leader="none"/>
                <w:tab w:val="left" w:pos="4542" w:leader="none"/>
              </w:tabs>
              <w:ind w:left="715" w:hanging="567"/>
              <w:rPr>
                <w:sz w:val="28"/>
                <w:szCs w:val="28"/>
                <w:lang w:val="ru-RU"/>
              </w:rPr>
            </w:pPr>
            <w:r>
              <w:rPr/>
              <w:t>заверенные копии документов, удостоверяющих личность (все заполненные страницы);</w:t>
            </w:r>
          </w:p>
          <w:p>
            <w:pPr>
              <w:pStyle w:val="Style39"/>
              <w:widowControl w:val="false"/>
              <w:numPr>
                <w:ilvl w:val="4"/>
                <w:numId w:val="24"/>
              </w:numPr>
              <w:tabs>
                <w:tab w:val="clear" w:pos="567"/>
                <w:tab w:val="left" w:pos="4542" w:leader="none"/>
              </w:tabs>
              <w:ind w:left="715" w:hanging="567"/>
              <w:rPr>
                <w:sz w:val="28"/>
                <w:szCs w:val="28"/>
                <w:lang w:val="ru-RU"/>
              </w:rPr>
            </w:pPr>
            <w:r>
              <w:rPr/>
              <w:t>заверенная копия свидетельства о присвоении ИНН (при наличии);</w:t>
            </w:r>
          </w:p>
          <w:p>
            <w:pPr>
              <w:pStyle w:val="Style39"/>
              <w:widowControl w:val="false"/>
              <w:numPr>
                <w:ilvl w:val="4"/>
                <w:numId w:val="25"/>
              </w:numPr>
              <w:tabs>
                <w:tab w:val="clear" w:pos="567"/>
                <w:tab w:val="left" w:pos="4542" w:leader="none"/>
              </w:tabs>
              <w:ind w:left="715" w:hanging="567"/>
              <w:rPr>
                <w:sz w:val="28"/>
                <w:szCs w:val="28"/>
                <w:lang w:val="ru-RU"/>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39"/>
              <w:widowControl w:val="false"/>
              <w:numPr>
                <w:ilvl w:val="4"/>
                <w:numId w:val="26"/>
              </w:numPr>
              <w:tabs>
                <w:tab w:val="clear" w:pos="567"/>
                <w:tab w:val="left" w:pos="4542" w:leader="none"/>
              </w:tabs>
              <w:ind w:left="715" w:hanging="567"/>
              <w:rPr>
                <w:sz w:val="28"/>
                <w:szCs w:val="28"/>
                <w:lang w:val="ru-RU"/>
              </w:rPr>
            </w:pPr>
            <w:r>
              <w:rPr/>
              <w:t>согласие антимонопольного органа на приобретение имущества, если это необходимо в соответствии с законодательством РФ.</w:t>
            </w:r>
          </w:p>
          <w:p>
            <w:pPr>
              <w:pStyle w:val="Normal"/>
              <w:widowControl w:val="false"/>
              <w:rPr>
                <w:b/>
                <w:b/>
                <w:u w:val="single"/>
              </w:rPr>
            </w:pPr>
            <w:r>
              <w:rPr>
                <w:b/>
                <w:u w:val="single"/>
              </w:rPr>
              <w:t>Участник – юридическое лицо (резидент РФ)</w:t>
            </w:r>
          </w:p>
          <w:p>
            <w:pPr>
              <w:pStyle w:val="Style39"/>
              <w:widowControl w:val="false"/>
              <w:numPr>
                <w:ilvl w:val="4"/>
                <w:numId w:val="27"/>
              </w:numPr>
              <w:tabs>
                <w:tab w:val="clear" w:pos="567"/>
                <w:tab w:val="left" w:pos="4542" w:leader="none"/>
              </w:tabs>
              <w:ind w:left="715" w:hanging="567"/>
              <w:rPr>
                <w:sz w:val="28"/>
                <w:szCs w:val="28"/>
                <w:lang w:val="ru-RU"/>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9"/>
              <w:widowControl w:val="false"/>
              <w:numPr>
                <w:ilvl w:val="4"/>
                <w:numId w:val="28"/>
              </w:numPr>
              <w:tabs>
                <w:tab w:val="clear" w:pos="567"/>
                <w:tab w:val="left" w:pos="4542" w:leader="none"/>
              </w:tabs>
              <w:ind w:left="715" w:hanging="567"/>
              <w:rPr>
                <w:sz w:val="28"/>
                <w:szCs w:val="28"/>
                <w:lang w:val="ru-RU"/>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39"/>
              <w:widowControl w:val="false"/>
              <w:numPr>
                <w:ilvl w:val="4"/>
                <w:numId w:val="29"/>
              </w:numPr>
              <w:tabs>
                <w:tab w:val="clear" w:pos="567"/>
                <w:tab w:val="left" w:pos="4542" w:leader="none"/>
              </w:tabs>
              <w:ind w:left="715" w:hanging="567"/>
              <w:rPr>
                <w:sz w:val="28"/>
                <w:szCs w:val="28"/>
                <w:lang w:val="ru-RU"/>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39"/>
              <w:widowControl w:val="false"/>
              <w:numPr>
                <w:ilvl w:val="4"/>
                <w:numId w:val="30"/>
              </w:numPr>
              <w:tabs>
                <w:tab w:val="clear" w:pos="567"/>
                <w:tab w:val="left" w:pos="4542" w:leader="none"/>
              </w:tabs>
              <w:ind w:left="715" w:hanging="567"/>
              <w:rPr>
                <w:sz w:val="28"/>
                <w:szCs w:val="28"/>
                <w:lang w:val="ru-RU"/>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9"/>
              <w:widowControl w:val="false"/>
              <w:numPr>
                <w:ilvl w:val="4"/>
                <w:numId w:val="31"/>
              </w:numPr>
              <w:tabs>
                <w:tab w:val="clear" w:pos="567"/>
                <w:tab w:val="left" w:pos="4542" w:leader="none"/>
              </w:tabs>
              <w:ind w:left="715" w:hanging="567"/>
              <w:rPr>
                <w:sz w:val="28"/>
                <w:szCs w:val="28"/>
                <w:lang w:val="ru-RU"/>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9"/>
              <w:widowControl w:val="false"/>
              <w:numPr>
                <w:ilvl w:val="4"/>
                <w:numId w:val="32"/>
              </w:numPr>
              <w:tabs>
                <w:tab w:val="clear" w:pos="567"/>
                <w:tab w:val="left" w:pos="4542" w:leader="none"/>
              </w:tabs>
              <w:ind w:left="715" w:hanging="567"/>
              <w:rPr>
                <w:sz w:val="28"/>
                <w:szCs w:val="28"/>
                <w:lang w:val="ru-RU"/>
              </w:rPr>
            </w:pPr>
            <w:r>
              <w:rPr/>
              <w:t>заверенные копии уведомления о применении специальных налоговых режимов (УСНО, ЕНВД) или освобождения от обязанностей налогоплательщика НДС;</w:t>
            </w:r>
          </w:p>
          <w:p>
            <w:pPr>
              <w:pStyle w:val="Style39"/>
              <w:widowControl w:val="false"/>
              <w:numPr>
                <w:ilvl w:val="4"/>
                <w:numId w:val="33"/>
              </w:numPr>
              <w:tabs>
                <w:tab w:val="clear" w:pos="567"/>
                <w:tab w:val="left" w:pos="4542" w:leader="none"/>
              </w:tabs>
              <w:ind w:left="715" w:hanging="567"/>
              <w:rPr>
                <w:sz w:val="28"/>
                <w:szCs w:val="28"/>
                <w:lang w:val="ru-RU"/>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9"/>
              <w:widowControl w:val="false"/>
              <w:numPr>
                <w:ilvl w:val="4"/>
                <w:numId w:val="34"/>
              </w:numPr>
              <w:tabs>
                <w:tab w:val="clear" w:pos="567"/>
                <w:tab w:val="left" w:pos="4542" w:leader="none"/>
              </w:tabs>
              <w:ind w:left="715" w:hanging="567"/>
              <w:rPr>
                <w:sz w:val="28"/>
                <w:szCs w:val="28"/>
                <w:lang w:val="ru-RU"/>
              </w:rPr>
            </w:pPr>
            <w:r>
              <w:rPr/>
              <w:t>согласие антимонопольного органа на приобретение имущества, если это необходимо в соответствии с законодательством РФ.</w:t>
            </w:r>
          </w:p>
          <w:p>
            <w:pPr>
              <w:pStyle w:val="Style39"/>
              <w:widowControl w:val="false"/>
              <w:numPr>
                <w:ilvl w:val="0"/>
                <w:numId w:val="0"/>
              </w:numPr>
              <w:ind w:left="148" w:hanging="0"/>
              <w:rPr>
                <w:b/>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39"/>
              <w:widowControl w:val="false"/>
              <w:numPr>
                <w:ilvl w:val="4"/>
                <w:numId w:val="35"/>
              </w:numPr>
              <w:tabs>
                <w:tab w:val="clear" w:pos="567"/>
                <w:tab w:val="left" w:pos="4542" w:leader="none"/>
              </w:tabs>
              <w:ind w:left="715" w:hanging="567"/>
              <w:rPr>
                <w:sz w:val="28"/>
                <w:szCs w:val="28"/>
                <w:lang w:val="ru-RU"/>
              </w:rPr>
            </w:pPr>
            <w:r>
              <w:rPr/>
              <w:t>нотариально заверенная копия устава иностранного юридического лица;</w:t>
            </w:r>
          </w:p>
          <w:p>
            <w:pPr>
              <w:pStyle w:val="Style39"/>
              <w:widowControl w:val="false"/>
              <w:numPr>
                <w:ilvl w:val="4"/>
                <w:numId w:val="36"/>
              </w:numPr>
              <w:tabs>
                <w:tab w:val="clear" w:pos="567"/>
                <w:tab w:val="left" w:pos="4542" w:leader="none"/>
              </w:tabs>
              <w:ind w:left="715" w:hanging="567"/>
              <w:rPr>
                <w:sz w:val="28"/>
                <w:szCs w:val="28"/>
                <w:lang w:val="ru-RU"/>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39"/>
              <w:widowControl w:val="false"/>
              <w:numPr>
                <w:ilvl w:val="4"/>
                <w:numId w:val="37"/>
              </w:numPr>
              <w:tabs>
                <w:tab w:val="clear" w:pos="567"/>
                <w:tab w:val="left" w:pos="4542" w:leader="none"/>
              </w:tabs>
              <w:ind w:left="715" w:hanging="567"/>
              <w:rPr>
                <w:sz w:val="28"/>
                <w:szCs w:val="28"/>
                <w:lang w:val="ru-RU"/>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39"/>
              <w:widowControl w:val="false"/>
              <w:numPr>
                <w:ilvl w:val="4"/>
                <w:numId w:val="38"/>
              </w:numPr>
              <w:tabs>
                <w:tab w:val="clear" w:pos="567"/>
                <w:tab w:val="left" w:pos="4542" w:leader="none"/>
              </w:tabs>
              <w:ind w:left="715" w:hanging="567"/>
              <w:rPr>
                <w:sz w:val="28"/>
                <w:szCs w:val="28"/>
                <w:lang w:val="ru-RU"/>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9"/>
              <w:widowControl w:val="false"/>
              <w:numPr>
                <w:ilvl w:val="4"/>
                <w:numId w:val="39"/>
              </w:numPr>
              <w:tabs>
                <w:tab w:val="clear" w:pos="567"/>
                <w:tab w:val="left" w:pos="4542" w:leader="none"/>
              </w:tabs>
              <w:ind w:left="715" w:hanging="567"/>
              <w:rPr>
                <w:sz w:val="28"/>
                <w:szCs w:val="28"/>
                <w:lang w:val="ru-RU"/>
              </w:rPr>
            </w:pPr>
            <w:r>
              <w:rPr/>
              <w:t>согласие антимонопольного органа на приобретение имущества, если это необходимо в соответствии с законодательством РФ.</w:t>
            </w:r>
          </w:p>
          <w:p>
            <w:pPr>
              <w:pStyle w:val="Style39"/>
              <w:widowControl w:val="false"/>
              <w:numPr>
                <w:ilvl w:val="0"/>
                <w:numId w:val="0"/>
              </w:numPr>
              <w:ind w:left="148" w:hanging="0"/>
              <w:rPr>
                <w:b/>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39"/>
              <w:widowControl w:val="false"/>
              <w:numPr>
                <w:ilvl w:val="4"/>
                <w:numId w:val="40"/>
              </w:numPr>
              <w:tabs>
                <w:tab w:val="clear" w:pos="567"/>
                <w:tab w:val="left" w:pos="4542" w:leader="none"/>
              </w:tabs>
              <w:ind w:left="715" w:hanging="567"/>
              <w:rPr>
                <w:sz w:val="28"/>
                <w:szCs w:val="28"/>
                <w:lang w:val="ru-RU"/>
              </w:rPr>
            </w:pPr>
            <w:r>
              <w:rPr/>
              <w:t>нотариально заверенная копия устава иностранного юридического лица;</w:t>
            </w:r>
          </w:p>
          <w:p>
            <w:pPr>
              <w:pStyle w:val="Style39"/>
              <w:widowControl w:val="false"/>
              <w:numPr>
                <w:ilvl w:val="4"/>
                <w:numId w:val="41"/>
              </w:numPr>
              <w:tabs>
                <w:tab w:val="clear" w:pos="567"/>
                <w:tab w:val="left" w:pos="4542" w:leader="none"/>
              </w:tabs>
              <w:ind w:left="715" w:hanging="567"/>
              <w:rPr>
                <w:sz w:val="28"/>
                <w:szCs w:val="28"/>
                <w:lang w:val="ru-RU"/>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39"/>
              <w:widowControl w:val="false"/>
              <w:numPr>
                <w:ilvl w:val="4"/>
                <w:numId w:val="42"/>
              </w:numPr>
              <w:tabs>
                <w:tab w:val="clear" w:pos="567"/>
                <w:tab w:val="left" w:pos="4542" w:leader="none"/>
              </w:tabs>
              <w:ind w:left="715" w:hanging="567"/>
              <w:rPr>
                <w:sz w:val="28"/>
                <w:szCs w:val="28"/>
                <w:lang w:val="ru-RU"/>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39"/>
              <w:widowControl w:val="false"/>
              <w:numPr>
                <w:ilvl w:val="4"/>
                <w:numId w:val="43"/>
              </w:numPr>
              <w:tabs>
                <w:tab w:val="clear" w:pos="567"/>
                <w:tab w:val="left" w:pos="4542" w:leader="none"/>
              </w:tabs>
              <w:ind w:left="715" w:hanging="567"/>
              <w:rPr>
                <w:sz w:val="28"/>
                <w:szCs w:val="28"/>
                <w:lang w:val="ru-RU"/>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39"/>
              <w:widowControl w:val="false"/>
              <w:numPr>
                <w:ilvl w:val="4"/>
                <w:numId w:val="44"/>
              </w:numPr>
              <w:tabs>
                <w:tab w:val="clear" w:pos="567"/>
                <w:tab w:val="left" w:pos="4542" w:leader="none"/>
              </w:tabs>
              <w:ind w:left="715" w:hanging="567"/>
              <w:rPr>
                <w:sz w:val="28"/>
                <w:szCs w:val="28"/>
                <w:lang w:val="ru-RU"/>
              </w:rPr>
            </w:pPr>
            <w:r>
              <w:rPr/>
              <w:t>нотариально заверенная копия положения о филиале, представительстве и т.п. иностранного юридического лица;</w:t>
            </w:r>
          </w:p>
          <w:p>
            <w:pPr>
              <w:pStyle w:val="Style39"/>
              <w:widowControl w:val="false"/>
              <w:numPr>
                <w:ilvl w:val="4"/>
                <w:numId w:val="45"/>
              </w:numPr>
              <w:tabs>
                <w:tab w:val="clear" w:pos="567"/>
                <w:tab w:val="left" w:pos="4542" w:leader="none"/>
              </w:tabs>
              <w:ind w:left="715" w:hanging="567"/>
              <w:rPr>
                <w:sz w:val="28"/>
                <w:szCs w:val="28"/>
                <w:lang w:val="ru-RU"/>
              </w:rPr>
            </w:pPr>
            <w:r>
              <w:rPr/>
              <w:t>нотариально заверенная копия свидетельства о постановке на учет в налоговом органе Российской Федерации;</w:t>
            </w:r>
          </w:p>
          <w:p>
            <w:pPr>
              <w:pStyle w:val="Style39"/>
              <w:widowControl w:val="false"/>
              <w:numPr>
                <w:ilvl w:val="4"/>
                <w:numId w:val="46"/>
              </w:numPr>
              <w:tabs>
                <w:tab w:val="clear" w:pos="567"/>
                <w:tab w:val="left" w:pos="4542" w:leader="none"/>
              </w:tabs>
              <w:ind w:left="715" w:hanging="567"/>
              <w:rPr>
                <w:sz w:val="28"/>
                <w:szCs w:val="28"/>
                <w:lang w:val="ru-RU"/>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39"/>
              <w:widowControl w:val="false"/>
              <w:numPr>
                <w:ilvl w:val="4"/>
                <w:numId w:val="47"/>
              </w:numPr>
              <w:tabs>
                <w:tab w:val="clear" w:pos="567"/>
                <w:tab w:val="left" w:pos="4542" w:leader="none"/>
              </w:tabs>
              <w:ind w:left="715" w:hanging="567"/>
              <w:rPr>
                <w:sz w:val="28"/>
                <w:szCs w:val="28"/>
                <w:lang w:val="ru-RU"/>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9"/>
              <w:widowControl w:val="false"/>
              <w:numPr>
                <w:ilvl w:val="4"/>
                <w:numId w:val="48"/>
              </w:numPr>
              <w:tabs>
                <w:tab w:val="clear" w:pos="567"/>
                <w:tab w:val="left" w:pos="4542" w:leader="none"/>
              </w:tabs>
              <w:ind w:left="715" w:hanging="567"/>
              <w:rPr>
                <w:sz w:val="28"/>
                <w:szCs w:val="28"/>
                <w:lang w:val="ru-RU"/>
              </w:rPr>
            </w:pPr>
            <w:r>
              <w:rPr/>
              <w:t>согласие антимонопольного органа на приобретение имущества, если это необходимо в соответствии с законодательством РФ.</w:t>
            </w:r>
          </w:p>
          <w:p>
            <w:pPr>
              <w:pStyle w:val="Style39"/>
              <w:widowControl w:val="false"/>
              <w:numPr>
                <w:ilvl w:val="0"/>
                <w:numId w:val="0"/>
              </w:numPr>
              <w:ind w:left="148" w:hanging="0"/>
              <w:rPr>
                <w:b/>
                <w:b/>
                <w:u w:val="single"/>
              </w:rPr>
            </w:pPr>
            <w:r>
              <w:rPr>
                <w:b/>
                <w:u w:val="single"/>
              </w:rPr>
              <w:t>Участник – индивидуальный предприниматель</w:t>
            </w:r>
          </w:p>
          <w:p>
            <w:pPr>
              <w:pStyle w:val="Style39"/>
              <w:widowControl w:val="false"/>
              <w:numPr>
                <w:ilvl w:val="4"/>
                <w:numId w:val="49"/>
              </w:numPr>
              <w:tabs>
                <w:tab w:val="clear" w:pos="567"/>
                <w:tab w:val="left" w:pos="4542" w:leader="none"/>
              </w:tabs>
              <w:ind w:left="715" w:hanging="567"/>
              <w:rPr>
                <w:sz w:val="28"/>
                <w:szCs w:val="28"/>
                <w:lang w:val="ru-RU"/>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9"/>
              <w:widowControl w:val="false"/>
              <w:numPr>
                <w:ilvl w:val="4"/>
                <w:numId w:val="50"/>
              </w:numPr>
              <w:tabs>
                <w:tab w:val="clear" w:pos="567"/>
                <w:tab w:val="left" w:pos="4542" w:leader="none"/>
              </w:tabs>
              <w:ind w:left="715" w:hanging="567"/>
              <w:rPr>
                <w:sz w:val="28"/>
                <w:szCs w:val="28"/>
                <w:lang w:val="ru-RU"/>
              </w:rPr>
            </w:pPr>
            <w:r>
              <w:rPr/>
              <w:t>заверенная копия свидетельства о регистрации физического лица в качестве индивидуального предпринимателя;</w:t>
            </w:r>
          </w:p>
          <w:p>
            <w:pPr>
              <w:pStyle w:val="Style39"/>
              <w:widowControl w:val="false"/>
              <w:numPr>
                <w:ilvl w:val="4"/>
                <w:numId w:val="51"/>
              </w:numPr>
              <w:tabs>
                <w:tab w:val="clear" w:pos="567"/>
                <w:tab w:val="left" w:pos="4542" w:leader="none"/>
              </w:tabs>
              <w:ind w:left="715" w:hanging="567"/>
              <w:rPr>
                <w:sz w:val="28"/>
                <w:szCs w:val="28"/>
                <w:lang w:val="ru-RU"/>
              </w:rPr>
            </w:pPr>
            <w:r>
              <w:rPr/>
              <w:t>заверенная копия документа, удостоверяющего личность (все заполненные страницы);</w:t>
            </w:r>
          </w:p>
          <w:p>
            <w:pPr>
              <w:pStyle w:val="Style39"/>
              <w:widowControl w:val="false"/>
              <w:numPr>
                <w:ilvl w:val="4"/>
                <w:numId w:val="52"/>
              </w:numPr>
              <w:tabs>
                <w:tab w:val="clear" w:pos="567"/>
                <w:tab w:val="left" w:pos="4542" w:leader="none"/>
              </w:tabs>
              <w:ind w:left="715" w:hanging="567"/>
              <w:rPr>
                <w:sz w:val="28"/>
                <w:szCs w:val="28"/>
                <w:lang w:val="ru-RU"/>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39"/>
              <w:widowControl w:val="false"/>
              <w:numPr>
                <w:ilvl w:val="4"/>
                <w:numId w:val="53"/>
              </w:numPr>
              <w:tabs>
                <w:tab w:val="clear" w:pos="567"/>
                <w:tab w:val="left" w:pos="4542" w:leader="none"/>
              </w:tabs>
              <w:ind w:left="715" w:hanging="567"/>
              <w:rPr>
                <w:sz w:val="28"/>
                <w:szCs w:val="28"/>
                <w:lang w:val="ru-RU"/>
              </w:rPr>
            </w:pPr>
            <w:r>
              <w:rPr/>
              <w:t>согласие антимонопольного органа на приобретение имущества, если это необходимо в соответствии с законодательством РФ.</w:t>
            </w:r>
          </w:p>
          <w:p>
            <w:pPr>
              <w:pStyle w:val="Style39"/>
              <w:widowControl w:val="false"/>
              <w:numPr>
                <w:ilvl w:val="0"/>
                <w:numId w:val="0"/>
              </w:numPr>
              <w:ind w:left="148" w:hanging="0"/>
              <w:rPr>
                <w:sz w:val="28"/>
                <w:szCs w:val="28"/>
                <w:lang w:val="ru-RU"/>
              </w:rPr>
            </w:pPr>
            <w:r>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602" w:name="_Ref514624336"/>
            <w:bookmarkStart w:id="603" w:name="_Ref514624336"/>
            <w:bookmarkEnd w:id="603"/>
          </w:p>
        </w:tc>
        <w:tc>
          <w:tcPr>
            <w:tcW w:w="313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sz w:val="28"/>
                <w:szCs w:val="28"/>
                <w:lang w:val="ru-RU"/>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8"/>
                <w:szCs w:val="28"/>
                <w:lang w:val="ru-RU"/>
              </w:rPr>
            </w:pPr>
            <w:r>
              <w:rPr/>
              <w:t xml:space="preserve">Декларация о соответствии Участника данному требованию в составе Заявки на участие в Процедуре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Style37"/>
        <w:numPr>
          <w:ilvl w:val="0"/>
          <w:numId w:val="0"/>
        </w:numPr>
        <w:ind w:left="0" w:hanging="0"/>
        <w:rPr>
          <w:sz w:val="28"/>
          <w:szCs w:val="28"/>
          <w:lang w:val="ru-RU"/>
        </w:rPr>
      </w:pPr>
      <w:bookmarkStart w:id="604" w:name="_Toc515659399"/>
      <w:bookmarkStart w:id="605" w:name="_Toc515659391"/>
      <w:bookmarkEnd w:id="604"/>
      <w:bookmarkEnd w:id="605"/>
      <w:r>
        <w:rPr/>
        <w:t>В случае если по каким-либо причинам Участник не может предоставить какой-либо из требуемых документов, он может в составе заявки приложить составленную в произвольной форме справку, объясняющую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1"/>
        <w:numPr>
          <w:ilvl w:val="0"/>
          <w:numId w:val="0"/>
        </w:numPr>
        <w:ind w:left="1134" w:hanging="0"/>
        <w:jc w:val="right"/>
        <w:rPr>
          <w:rFonts w:ascii="Times New Roman" w:hAnsi="Times New Roman"/>
          <w:b w:val="false"/>
          <w:b w:val="false"/>
          <w:sz w:val="24"/>
          <w:szCs w:val="24"/>
        </w:rPr>
      </w:pPr>
      <w:bookmarkStart w:id="606" w:name="_Toc536798435"/>
      <w:bookmarkStart w:id="607" w:name="_Ref526936339"/>
      <w:bookmarkStart w:id="608" w:name="_Ref526936333"/>
      <w:r>
        <w:rPr>
          <w:rFonts w:ascii="Times New Roman" w:hAnsi="Times New Roman"/>
          <w:b w:val="false"/>
          <w:sz w:val="24"/>
          <w:szCs w:val="24"/>
        </w:rPr>
        <w:t>Приложение № 4</w:t>
      </w:r>
    </w:p>
    <w:p>
      <w:pPr>
        <w:pStyle w:val="1"/>
        <w:keepNext w:val="false"/>
        <w:keepLines w:val="false"/>
        <w:pageBreakBefore w:val="false"/>
        <w:numPr>
          <w:ilvl w:val="0"/>
          <w:numId w:val="0"/>
        </w:numPr>
        <w:ind w:left="1134" w:hanging="1134"/>
        <w:jc w:val="center"/>
        <w:rPr>
          <w:rFonts w:ascii="Times New Roman" w:hAnsi="Times New Roman"/>
          <w:sz w:val="28"/>
          <w:szCs w:val="28"/>
        </w:rPr>
      </w:pPr>
      <w:bookmarkStart w:id="609" w:name="_Toc536798435"/>
      <w:bookmarkStart w:id="610" w:name="_Ref526936339"/>
      <w:bookmarkStart w:id="611" w:name="_Ref526936333"/>
      <w:r>
        <w:rPr>
          <w:rFonts w:ascii="Times New Roman" w:hAnsi="Times New Roman"/>
          <w:sz w:val="28"/>
          <w:szCs w:val="28"/>
        </w:rPr>
        <w:t>СОСТАВ ЗАЯВКИ</w:t>
      </w:r>
      <w:bookmarkEnd w:id="609"/>
      <w:bookmarkEnd w:id="610"/>
      <w:bookmarkEnd w:id="611"/>
      <w:r>
        <w:rPr>
          <w:rFonts w:ascii="Times New Roman" w:hAnsi="Times New Roman"/>
          <w:sz w:val="28"/>
          <w:szCs w:val="28"/>
        </w:rPr>
        <w:t xml:space="preserve"> НА УЧАСТИЕ В ПРОДАЖЕ БЕЗ ОБЪЯВЛЕНИЯ ЦЕНЫ</w:t>
      </w:r>
    </w:p>
    <w:p>
      <w:pPr>
        <w:pStyle w:val="Style37"/>
        <w:numPr>
          <w:ilvl w:val="0"/>
          <w:numId w:val="0"/>
        </w:numPr>
        <w:ind w:left="0" w:hanging="0"/>
        <w:rPr>
          <w:sz w:val="28"/>
          <w:szCs w:val="28"/>
          <w:lang w:val="ru-RU"/>
        </w:rPr>
      </w:pPr>
      <w:r>
        <w:rPr/>
        <w:t>Заявка на участие в Процедуре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2"/>
        <w:keepNext w:val="false"/>
        <w:widowControl w:val="false"/>
        <w:numPr>
          <w:ilvl w:val="0"/>
          <w:numId w:val="0"/>
        </w:numPr>
        <w:tabs>
          <w:tab w:val="left" w:pos="1560" w:leader="none"/>
          <w:tab w:val="left" w:pos="6379" w:leader="none"/>
          <w:tab w:val="left" w:pos="6663" w:leader="none"/>
        </w:tabs>
        <w:suppressAutoHyphens w:val="false"/>
        <w:ind w:left="0" w:hanging="0"/>
        <w:jc w:val="both"/>
        <w:rPr>
          <w:sz w:val="26"/>
        </w:rPr>
      </w:pPr>
      <w:bookmarkStart w:id="612" w:name="_Ref524092269"/>
      <w:bookmarkStart w:id="613" w:name="_Toc536798436"/>
      <w:r>
        <w:rPr>
          <w:sz w:val="26"/>
        </w:rPr>
        <w:t>Состав заявки</w:t>
      </w:r>
      <w:bookmarkEnd w:id="613"/>
      <w:r>
        <w:rPr>
          <w:sz w:val="26"/>
        </w:rPr>
        <w:t xml:space="preserve"> </w:t>
      </w:r>
      <w:bookmarkEnd w:id="612"/>
      <w:r>
        <w:rPr>
          <w:sz w:val="26"/>
        </w:rPr>
        <w:t xml:space="preserve">на участие в продаже без объявления </w:t>
      </w:r>
    </w:p>
    <w:tbl>
      <w:tblPr>
        <w:tblW w:w="10206"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851"/>
        <w:gridCol w:w="9354"/>
      </w:tblGrid>
      <w:tr>
        <w:trPr>
          <w:trHeight w:val="322" w:hRule="atLeast"/>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sz w:val="24"/>
                <w:szCs w:val="24"/>
              </w:rPr>
            </w:pPr>
            <w:r>
              <w:rPr>
                <w:bCs/>
                <w:sz w:val="24"/>
                <w:szCs w:val="24"/>
              </w:rPr>
              <w:t xml:space="preserve">№ </w:t>
            </w:r>
            <w:r>
              <w:rPr>
                <w:bCs/>
                <w:sz w:val="24"/>
                <w:szCs w:val="24"/>
              </w:rPr>
              <w:t>п/п</w:t>
            </w:r>
          </w:p>
        </w:tc>
        <w:tc>
          <w:tcPr>
            <w:tcW w:w="93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sz w:val="24"/>
                <w:szCs w:val="24"/>
              </w:rPr>
            </w:pPr>
            <w:r>
              <w:rPr>
                <w:bCs/>
                <w:iCs/>
                <w:sz w:val="24"/>
                <w:szCs w:val="24"/>
              </w:rPr>
              <w:t>Наименование документа</w:t>
            </w:r>
          </w:p>
        </w:tc>
      </w:tr>
      <w:tr>
        <w:trPr>
          <w:trHeight w:val="322" w:hRule="atLeast"/>
        </w:trPr>
        <w:tc>
          <w:tcPr>
            <w:tcW w:w="8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1"/>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3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8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1"/>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3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bCs/>
              </w:rPr>
            </w:pPr>
            <w:r>
              <w:rPr/>
              <w:fldChar w:fldCharType="begin"/>
            </w:r>
            <w:r>
              <w:rPr/>
              <w:instrText xml:space="preserve"> REF _Ref55336310 \h </w:instrText>
            </w:r>
            <w:r>
              <w:rPr/>
              <w:fldChar w:fldCharType="separate"/>
            </w:r>
            <w:r>
              <w:rPr/>
              <w:t>Заявка на участие в Процедуре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8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1"/>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3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8"/>
                <w:szCs w:val="28"/>
                <w:lang w:val="ru-RU"/>
              </w:rPr>
            </w:pPr>
            <w:r>
              <w:rPr/>
              <w:t>Документы, подтверждающие соответствие Участника обязательным требованиям Документации о продаже (приложение 3).</w:t>
            </w:r>
          </w:p>
        </w:tc>
      </w:tr>
    </w:tbl>
    <w:p>
      <w:pPr>
        <w:sectPr>
          <w:footerReference w:type="default" r:id="rId19"/>
          <w:footerReference w:type="first" r:id="rId20"/>
          <w:type w:val="nextPage"/>
          <w:pgSz w:w="11906" w:h="16838"/>
          <w:pgMar w:left="1134" w:right="567" w:gutter="0" w:header="0" w:top="851" w:footer="737" w:bottom="1418"/>
          <w:pgNumType w:fmt="decimal"/>
          <w:formProt w:val="false"/>
          <w:titlePg/>
          <w:textDirection w:val="lrTb"/>
          <w:docGrid w:type="default" w:linePitch="360" w:charSpace="4294963199"/>
        </w:sectPr>
      </w:pPr>
      <w:r>
        <w:br w:type="page"/>
      </w:r>
    </w:p>
    <w:p>
      <w:pPr>
        <w:pStyle w:val="1"/>
        <w:pageBreakBefore w:val="false"/>
        <w:numPr>
          <w:ilvl w:val="0"/>
          <w:numId w:val="0"/>
        </w:numPr>
        <w:ind w:left="1134" w:hanging="1134"/>
        <w:jc w:val="right"/>
        <w:rPr>
          <w:rFonts w:ascii="Times New Roman" w:hAnsi="Times New Roman"/>
          <w:b w:val="false"/>
          <w:b w:val="false"/>
          <w:sz w:val="24"/>
          <w:szCs w:val="24"/>
        </w:rPr>
      </w:pPr>
      <w:bookmarkStart w:id="614" w:name="_Ref384117211"/>
      <w:bookmarkStart w:id="615" w:name="_Toc536798437"/>
      <w:bookmarkStart w:id="616" w:name="_Ref514656489"/>
      <w:bookmarkStart w:id="617" w:name="_Ref514631923"/>
      <w:bookmarkStart w:id="618" w:name="_Ref514603898"/>
      <w:bookmarkStart w:id="619" w:name="_Ref514603893"/>
      <w:r>
        <w:rPr>
          <w:rFonts w:ascii="Times New Roman" w:hAnsi="Times New Roman"/>
          <w:b w:val="false"/>
          <w:sz w:val="24"/>
          <w:szCs w:val="24"/>
        </w:rPr>
        <w:t>Приложение № 5</w:t>
      </w:r>
      <w:bookmarkEnd w:id="614"/>
    </w:p>
    <w:p>
      <w:pPr>
        <w:pStyle w:val="1"/>
        <w:keepNext w:val="false"/>
        <w:keepLines w:val="false"/>
        <w:pageBreakBefore w:val="false"/>
        <w:numPr>
          <w:ilvl w:val="0"/>
          <w:numId w:val="0"/>
        </w:numPr>
        <w:ind w:left="0" w:hanging="0"/>
        <w:jc w:val="center"/>
        <w:rPr>
          <w:rFonts w:ascii="Times New Roman" w:hAnsi="Times New Roman"/>
          <w:sz w:val="28"/>
          <w:szCs w:val="28"/>
        </w:rPr>
      </w:pPr>
      <w:bookmarkStart w:id="620" w:name="_Ref468102866"/>
      <w:bookmarkStart w:id="621" w:name="_Ref384118604"/>
      <w:bookmarkStart w:id="622" w:name="_Toc536798437"/>
      <w:bookmarkStart w:id="623" w:name="_Ref514656489"/>
      <w:bookmarkStart w:id="624" w:name="_Ref514631923"/>
      <w:bookmarkStart w:id="625" w:name="_Ref514603898"/>
      <w:bookmarkStart w:id="626" w:name="_Ref514603893"/>
      <w:r>
        <w:rPr>
          <w:rFonts w:ascii="Times New Roman" w:hAnsi="Times New Roman"/>
          <w:sz w:val="28"/>
          <w:szCs w:val="28"/>
        </w:rPr>
        <w:t>ОТБОРОЧНЫЕ КРИТЕРИИ РАССМОТРЕНИЯ ЗАЯВОК</w:t>
      </w:r>
      <w:bookmarkEnd w:id="620"/>
      <w:bookmarkEnd w:id="621"/>
      <w:bookmarkEnd w:id="622"/>
      <w:bookmarkEnd w:id="623"/>
      <w:bookmarkEnd w:id="624"/>
      <w:bookmarkEnd w:id="625"/>
      <w:bookmarkEnd w:id="626"/>
    </w:p>
    <w:p>
      <w:pPr>
        <w:pStyle w:val="Normal"/>
        <w:spacing w:before="120" w:after="120"/>
        <w:rPr>
          <w:i/>
          <w:i/>
          <w:shd w:fill="FFFF99" w:val="clear"/>
        </w:rPr>
      </w:pPr>
      <w:r>
        <w:rPr>
          <w:i/>
          <w:shd w:fill="FFFF99" w:val="clear"/>
        </w:rPr>
      </w:r>
    </w:p>
    <w:tbl>
      <w:tblPr>
        <w:tblW w:w="10065"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134"/>
        <w:gridCol w:w="7088"/>
        <w:gridCol w:w="1843"/>
      </w:tblGrid>
      <w:tr>
        <w:trPr>
          <w:trHeight w:val="419" w:hRule="atLeast"/>
          <w:cantSplit w:val="true"/>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ind w:left="-105" w:right="-114" w:hanging="0"/>
              <w:jc w:val="center"/>
              <w:rPr>
                <w:bCs/>
              </w:rPr>
            </w:pPr>
            <w:r>
              <w:rPr>
                <w:bCs/>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Cs/>
              </w:rPr>
            </w:pPr>
            <w:r>
              <w:rPr>
                <w:bCs/>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ind w:left="-110" w:right="-113" w:hanging="0"/>
              <w:jc w:val="center"/>
              <w:rPr>
                <w:bCs/>
              </w:rPr>
            </w:pPr>
            <w:r>
              <w:rPr>
                <w:bCs/>
              </w:rPr>
              <w:t>Номер пункта Документации о продаже</w:t>
            </w:r>
          </w:p>
        </w:tc>
      </w:tr>
      <w:tr>
        <w:trPr>
          <w:trHeight w:val="419" w:hRule="atLeast"/>
          <w:cantSplit w:val="true"/>
        </w:trPr>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left"/>
              <w:rPr>
                <w:b/>
                <w:b/>
                <w:bCs/>
              </w:rPr>
            </w:pPr>
            <w:r>
              <w:rPr>
                <w:b/>
                <w:bCs/>
              </w:rPr>
            </w:r>
          </w:p>
        </w:tc>
        <w:tc>
          <w:tcPr>
            <w:tcW w:w="70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left"/>
              <w:rPr>
                <w:b/>
                <w:b/>
                <w:bCs/>
                <w:i/>
                <w:i/>
                <w:iCs/>
              </w:rPr>
            </w:pPr>
            <w:r>
              <w:rPr>
                <w:b/>
                <w:bCs/>
                <w:i/>
                <w:iCs/>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left"/>
              <w:rPr>
                <w:b/>
                <w:b/>
                <w:bCs/>
              </w:rPr>
            </w:pPr>
            <w:r>
              <w:rPr>
                <w:b/>
                <w:bCs/>
              </w:rPr>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8"/>
                <w:szCs w:val="28"/>
                <w:lang w:val="ru-RU"/>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rPr>
                <w:rFonts w:eastAsia="MS Mincho"/>
              </w:rPr>
            </w:pPr>
            <w:r>
              <w:rPr>
                <w:b/>
                <w:bCs/>
              </w:rPr>
              <w:t>Состав, содержание и правильность оформления заявки</w:t>
            </w:r>
            <w:r>
              <w:rPr>
                <w:rFonts w:eastAsia="MS Mincho"/>
                <w:b/>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rPr>
            </w:pPr>
            <w:r>
              <w:rPr>
                <w:b/>
                <w:bCs/>
              </w:rPr>
              <w:t>--</w:t>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0"/>
              </w:numPr>
              <w:tabs>
                <w:tab w:val="clear" w:pos="567"/>
                <w:tab w:val="left" w:pos="171" w:leader="none"/>
              </w:tabs>
              <w:spacing w:before="120" w:after="0"/>
              <w:ind w:left="0" w:hanging="0"/>
              <w:jc w:val="center"/>
              <w:rPr>
                <w:sz w:val="28"/>
                <w:szCs w:val="28"/>
                <w:lang w:val="ru-RU"/>
              </w:rPr>
            </w:pPr>
            <w:r>
              <w:rPr/>
            </w:r>
          </w:p>
        </w:tc>
        <w:tc>
          <w:tcPr>
            <w:tcW w:w="7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rFonts w:eastAsia="MS Mincho"/>
              </w:rPr>
            </w:pPr>
            <w:r>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sz w:val="28"/>
                <w:szCs w:val="28"/>
                <w:lang w:val="ru-RU"/>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0"/>
              </w:numPr>
              <w:spacing w:before="120" w:after="0"/>
              <w:ind w:left="0" w:hanging="0"/>
              <w:jc w:val="center"/>
              <w:rPr>
                <w:sz w:val="28"/>
                <w:szCs w:val="28"/>
                <w:lang w:val="ru-RU"/>
              </w:rPr>
            </w:pPr>
            <w:r>
              <w:rPr/>
            </w:r>
          </w:p>
        </w:tc>
        <w:tc>
          <w:tcPr>
            <w:tcW w:w="7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rFonts w:eastAsia="MS Mincho"/>
              </w:rPr>
            </w:pPr>
            <w:r>
              <w:rPr>
                <w:rFonts w:eastAsia="MS Mincho"/>
              </w:rPr>
              <w:t>Соответствие Заявки на участие в продаже без объявления цены, в т.ч.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sz w:val="28"/>
                <w:szCs w:val="28"/>
                <w:lang w:val="ru-RU"/>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0"/>
              </w:numPr>
              <w:spacing w:before="120" w:after="0"/>
              <w:ind w:left="0" w:hanging="0"/>
              <w:jc w:val="center"/>
              <w:rPr>
                <w:sz w:val="28"/>
                <w:szCs w:val="28"/>
                <w:lang w:val="ru-RU"/>
              </w:rPr>
            </w:pPr>
            <w:r>
              <w:rPr/>
            </w:r>
          </w:p>
        </w:tc>
        <w:tc>
          <w:tcPr>
            <w:tcW w:w="7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rFonts w:eastAsia="MS Mincho"/>
              </w:rPr>
            </w:pPr>
            <w:r>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sz w:val="28"/>
                <w:szCs w:val="28"/>
                <w:lang w:val="ru-RU"/>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Normal"/>
        <w:spacing w:before="120" w:after="120"/>
        <w:rPr>
          <w:i/>
          <w:i/>
          <w:shd w:fill="FFFF99" w:val="clear"/>
        </w:rPr>
      </w:pPr>
      <w:r>
        <w:rPr>
          <w:i/>
          <w:shd w:fill="FFFF99" w:val="clear"/>
        </w:rPr>
      </w:r>
      <w:bookmarkStart w:id="627" w:name="_Toc516980616"/>
      <w:bookmarkStart w:id="628" w:name="_Toc516961555"/>
      <w:bookmarkStart w:id="629" w:name="_Toc516961409"/>
      <w:bookmarkStart w:id="630" w:name="_Toc514455649"/>
      <w:bookmarkStart w:id="631" w:name="_Toc516980616"/>
      <w:bookmarkStart w:id="632" w:name="_Toc516961555"/>
      <w:bookmarkStart w:id="633" w:name="_Toc516961409"/>
      <w:bookmarkStart w:id="634" w:name="_Toc514455649"/>
      <w:bookmarkEnd w:id="631"/>
      <w:bookmarkEnd w:id="632"/>
      <w:bookmarkEnd w:id="633"/>
      <w:bookmarkEnd w:id="634"/>
    </w:p>
    <w:p>
      <w:pPr>
        <w:pStyle w:val="Normal"/>
        <w:spacing w:before="120" w:after="120"/>
        <w:rPr>
          <w:i/>
          <w:i/>
          <w:shd w:fill="FFFF99" w:val="clear"/>
        </w:rPr>
      </w:pPr>
      <w:r>
        <w:rPr/>
      </w:r>
    </w:p>
    <w:sectPr>
      <w:footerReference w:type="default" r:id="rId21"/>
      <w:footerReference w:type="first" r:id="rId22"/>
      <w:type w:val="nextPage"/>
      <w:pgSz w:w="11906" w:h="16838"/>
      <w:pgMar w:left="1134" w:right="567" w:gutter="0" w:header="0" w:top="1134" w:footer="0" w:bottom="1418"/>
      <w:pgNumType w:fmt="decimal"/>
      <w:formProt w:val="false"/>
      <w:titlePg/>
      <w:textDirection w:val="lrTb"/>
      <w:docGrid w:type="default" w:linePitch="360" w:charSpace="429496319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Geneva CY">
    <w:charset w:val="01"/>
    <w:family w:val="roman"/>
    <w:pitch w:val="variable"/>
  </w:font>
  <w:font w:name="Calibri">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53</w:t>
    </w:r>
    <w:r>
      <w:rPr>
        <w:sz w:val="24"/>
        <w:i/>
        <w:szCs w:val="24"/>
      </w:rPr>
      <w:fldChar w:fldCharType="end"/>
    </w:r>
  </w:p>
  <w:p>
    <w:pPr>
      <w:pStyle w:val="Style29"/>
      <w:rPr/>
    </w:pPr>
    <w:r>
      <w:rPr/>
    </w:r>
  </w:p>
  <w:p>
    <w:pPr>
      <w:pStyle w:val="Style29"/>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53</w:t>
    </w:r>
    <w:r>
      <w:rPr>
        <w:sz w:val="24"/>
        <w:i/>
        <w:szCs w:val="24"/>
      </w:rPr>
      <w:fldChar w:fldCharType="end"/>
    </w:r>
  </w:p>
  <w:p>
    <w:pPr>
      <w:pStyle w:val="Style29"/>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46</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53</w:t>
    </w:r>
    <w:r>
      <w:rPr>
        <w:sz w:val="24"/>
        <w:i/>
        <w:szCs w:val="24"/>
      </w:rPr>
      <w:fldChar w:fldCharType="end"/>
    </w:r>
  </w:p>
  <w:p>
    <w:pPr>
      <w:pStyle w:val="Style29"/>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i/>
        <w:i/>
        <w:sz w:val="24"/>
        <w:szCs w:val="24"/>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52</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53</w:t>
    </w:r>
    <w:r>
      <w:rPr>
        <w:sz w:val="24"/>
        <w:i/>
        <w:szCs w:val="24"/>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47</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53</w:t>
    </w:r>
    <w:r>
      <w:rPr>
        <w:sz w:val="24"/>
        <w:i/>
        <w:szCs w:val="24"/>
      </w:rPr>
      <w:fldChar w:fldCharType="end"/>
    </w:r>
  </w:p>
  <w:p>
    <w:pPr>
      <w:pStyle w:val="Style29"/>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i/>
        <w:i/>
        <w:sz w:val="24"/>
        <w:szCs w:val="24"/>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0</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53</w:t>
    </w:r>
    <w:r>
      <w:rPr>
        <w:sz w:val="24"/>
        <w:i/>
        <w:szCs w:val="24"/>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53</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53</w:t>
    </w:r>
    <w:r>
      <w:rPr>
        <w:sz w:val="24"/>
        <w:i/>
        <w:szCs w:val="24"/>
      </w:rPr>
      <w:fldChar w:fldCharType="end"/>
    </w:r>
  </w:p>
  <w:p>
    <w:pPr>
      <w:pStyle w:val="Style29"/>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3"/>
      <w:numFmt w:val="decimal"/>
      <w:lvlText w:val="%1.%2.%3"/>
      <w:lvlJc w:val="left"/>
      <w:pPr>
        <w:tabs>
          <w:tab w:val="num" w:pos="1134"/>
        </w:tabs>
        <w:ind w:left="1134" w:hanging="1134"/>
      </w:pPr>
      <w:rPr/>
    </w:lvl>
    <w:lvl w:ilvl="3">
      <w:start w:val="1"/>
      <w:pStyle w:val="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val="false"/>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6">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7">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4">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5">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6">
    <w:lvl w:ilvl="0">
      <w:start w:val="1"/>
      <w:numFmt w:val="decimal"/>
      <w:lvlText w:val="%1."/>
      <w:lvlJc w:val="left"/>
      <w:pPr>
        <w:tabs>
          <w:tab w:val="num" w:pos="5529"/>
        </w:tabs>
        <w:ind w:left="5529" w:hanging="1134"/>
      </w:pPr>
      <w:rPr>
        <w:rFonts w:ascii="Times New Roman" w:hAnsi="Times New Roman" w:cs="Times New Roman"/>
      </w:rPr>
    </w:lvl>
    <w:lvl w:ilvl="1">
      <w:start w:val="1"/>
      <w:numFmt w:val="decimal"/>
      <w:lvlText w:val="%1.%2"/>
      <w:lvlJc w:val="left"/>
      <w:pPr>
        <w:tabs>
          <w:tab w:val="num" w:pos="6379"/>
        </w:tabs>
        <w:ind w:left="6379"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russianLower"/>
      <w:lvlText w:val="%1)"/>
      <w:lvlJc w:val="left"/>
      <w:pPr>
        <w:tabs>
          <w:tab w:val="num" w:pos="0"/>
        </w:tabs>
        <w:ind w:left="1260" w:hanging="360"/>
      </w:pPr>
      <w:rPr>
        <w:sz w:val="26"/>
        <w:i w:val="false"/>
        <w:b w:val="false"/>
        <w:szCs w:val="26"/>
        <w:color w:val="auto"/>
      </w:rPr>
    </w:lvl>
    <w:lvl w:ilvl="1">
      <w:start w:val="1"/>
      <w:numFmt w:val="lowerLetter"/>
      <w:lvlText w:val="%2."/>
      <w:lvlJc w:val="left"/>
      <w:pPr>
        <w:tabs>
          <w:tab w:val="num" w:pos="0"/>
        </w:tabs>
        <w:ind w:left="1980" w:hanging="360"/>
      </w:pPr>
      <w:rPr/>
    </w:lvl>
    <w:lvl w:ilvl="2">
      <w:start w:val="1"/>
      <w:numFmt w:val="lowerRoman"/>
      <w:lvlText w:val="%3."/>
      <w:lvlJc w:val="right"/>
      <w:pPr>
        <w:tabs>
          <w:tab w:val="num" w:pos="0"/>
        </w:tabs>
        <w:ind w:left="2700" w:hanging="180"/>
      </w:pPr>
      <w:rPr/>
    </w:lvl>
    <w:lvl w:ilvl="3">
      <w:start w:val="1"/>
      <w:numFmt w:val="decimal"/>
      <w:lvlText w:val="%4."/>
      <w:lvlJc w:val="left"/>
      <w:pPr>
        <w:tabs>
          <w:tab w:val="num" w:pos="0"/>
        </w:tabs>
        <w:ind w:left="3420" w:hanging="360"/>
      </w:pPr>
      <w:rPr/>
    </w:lvl>
    <w:lvl w:ilvl="4">
      <w:start w:val="1"/>
      <w:numFmt w:val="lowerLetter"/>
      <w:lvlText w:val="%5."/>
      <w:lvlJc w:val="left"/>
      <w:pPr>
        <w:tabs>
          <w:tab w:val="num" w:pos="0"/>
        </w:tabs>
        <w:ind w:left="4140" w:hanging="360"/>
      </w:pPr>
      <w:rPr/>
    </w:lvl>
    <w:lvl w:ilvl="5">
      <w:start w:val="1"/>
      <w:numFmt w:val="lowerRoman"/>
      <w:lvlText w:val="%6."/>
      <w:lvlJc w:val="right"/>
      <w:pPr>
        <w:tabs>
          <w:tab w:val="num" w:pos="0"/>
        </w:tabs>
        <w:ind w:left="4860" w:hanging="180"/>
      </w:pPr>
      <w:rPr/>
    </w:lvl>
    <w:lvl w:ilvl="6">
      <w:start w:val="1"/>
      <w:numFmt w:val="decimal"/>
      <w:lvlText w:val="%7."/>
      <w:lvlJc w:val="left"/>
      <w:pPr>
        <w:tabs>
          <w:tab w:val="num" w:pos="0"/>
        </w:tabs>
        <w:ind w:left="5580" w:hanging="360"/>
      </w:pPr>
      <w:rPr/>
    </w:lvl>
    <w:lvl w:ilvl="7">
      <w:start w:val="1"/>
      <w:numFmt w:val="lowerLetter"/>
      <w:lvlText w:val="%8."/>
      <w:lvlJc w:val="left"/>
      <w:pPr>
        <w:tabs>
          <w:tab w:val="num" w:pos="0"/>
        </w:tabs>
        <w:ind w:left="6300" w:hanging="360"/>
      </w:pPr>
      <w:rPr/>
    </w:lvl>
    <w:lvl w:ilvl="8">
      <w:start w:val="1"/>
      <w:numFmt w:val="lowerRoman"/>
      <w:lvlText w:val="%9."/>
      <w:lvlJc w:val="right"/>
      <w:pPr>
        <w:tabs>
          <w:tab w:val="num" w:pos="0"/>
        </w:tabs>
        <w:ind w:left="7020" w:hanging="180"/>
      </w:pPr>
      <w:rPr/>
    </w:lvl>
  </w:abstractNum>
  <w:abstractNum w:abstractNumId="18">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9">
    <w:lvl w:ilvl="0">
      <w:start w:val="1"/>
      <w:numFmt w:val="decimal"/>
      <w:lvlText w:val="%1."/>
      <w:lvlJc w:val="left"/>
      <w:pPr>
        <w:tabs>
          <w:tab w:val="num" w:pos="0"/>
        </w:tabs>
        <w:ind w:left="4755" w:hanging="360"/>
      </w:pPr>
      <w:rPr/>
    </w:lvl>
    <w:lvl w:ilvl="1">
      <w:start w:val="1"/>
      <w:numFmt w:val="decimal"/>
      <w:lvlText w:val="%1.%2."/>
      <w:lvlJc w:val="left"/>
      <w:pPr>
        <w:tabs>
          <w:tab w:val="num" w:pos="0"/>
        </w:tabs>
        <w:ind w:left="1353" w:hanging="360"/>
      </w:pPr>
      <w:rPr>
        <w:color w:val="auto"/>
      </w:rPr>
    </w:lvl>
    <w:lvl w:ilvl="2">
      <w:start w:val="1"/>
      <w:numFmt w:val="decimal"/>
      <w:lvlText w:val="%1.%2.%3."/>
      <w:lvlJc w:val="left"/>
      <w:pPr>
        <w:tabs>
          <w:tab w:val="num" w:pos="0"/>
        </w:tabs>
        <w:ind w:left="5824" w:hanging="720"/>
      </w:pPr>
      <w:rPr/>
    </w:lvl>
    <w:lvl w:ilvl="3">
      <w:start w:val="1"/>
      <w:numFmt w:val="decimal"/>
      <w:lvlText w:val="%1.%2.%3.%4."/>
      <w:lvlJc w:val="left"/>
      <w:pPr>
        <w:tabs>
          <w:tab w:val="num" w:pos="0"/>
        </w:tabs>
        <w:ind w:left="5736" w:hanging="720"/>
      </w:pPr>
      <w:rPr/>
    </w:lvl>
    <w:lvl w:ilvl="4">
      <w:start w:val="1"/>
      <w:numFmt w:val="decimal"/>
      <w:lvlText w:val="%1.%2.%3.%4.%5."/>
      <w:lvlJc w:val="left"/>
      <w:pPr>
        <w:tabs>
          <w:tab w:val="num" w:pos="0"/>
        </w:tabs>
        <w:ind w:left="6303" w:hanging="1080"/>
      </w:pPr>
      <w:rPr/>
    </w:lvl>
    <w:lvl w:ilvl="5">
      <w:start w:val="1"/>
      <w:numFmt w:val="decimal"/>
      <w:lvlText w:val="%1.%2.%3.%4.%5.%6."/>
      <w:lvlJc w:val="left"/>
      <w:pPr>
        <w:tabs>
          <w:tab w:val="num" w:pos="0"/>
        </w:tabs>
        <w:ind w:left="6510" w:hanging="1080"/>
      </w:pPr>
      <w:rPr/>
    </w:lvl>
    <w:lvl w:ilvl="6">
      <w:start w:val="1"/>
      <w:numFmt w:val="decimal"/>
      <w:lvlText w:val="%1.%2.%3.%4.%5.%6.%7."/>
      <w:lvlJc w:val="left"/>
      <w:pPr>
        <w:tabs>
          <w:tab w:val="num" w:pos="0"/>
        </w:tabs>
        <w:ind w:left="7077" w:hanging="1440"/>
      </w:pPr>
      <w:rPr/>
    </w:lvl>
    <w:lvl w:ilvl="7">
      <w:start w:val="1"/>
      <w:numFmt w:val="decimal"/>
      <w:lvlText w:val="%1.%2.%3.%4.%5.%6.%7.%8."/>
      <w:lvlJc w:val="left"/>
      <w:pPr>
        <w:tabs>
          <w:tab w:val="num" w:pos="0"/>
        </w:tabs>
        <w:ind w:left="7284" w:hanging="1440"/>
      </w:pPr>
      <w:rPr/>
    </w:lvl>
    <w:lvl w:ilvl="8">
      <w:start w:val="1"/>
      <w:numFmt w:val="decimal"/>
      <w:lvlText w:val="%1.%2.%3.%4.%5.%6.%7.%8.%9."/>
      <w:lvlJc w:val="left"/>
      <w:pPr>
        <w:tabs>
          <w:tab w:val="num" w:pos="0"/>
        </w:tabs>
        <w:ind w:left="7851"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21">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22">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23">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24">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25">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26">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27">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28">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29">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30">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31">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32">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33">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34">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35">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36">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37">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38">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39">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40">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41">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42">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43">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44">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45">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46">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47">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48">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49">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50">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51">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52">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 w:numId="53">
    <w:abstractNumId w:val="4"/>
    <w:lvlOverride w:ilvl="1">
      <w:lvl w:ilvl="1">
        <w:start w:val="1"/>
        <w:numFmt w:val="decimal"/>
        <w:lvlText w:val="%1.%2"/>
        <w:lvlJc w:val="left"/>
        <w:pPr>
          <w:tabs>
            <w:tab w:val="num" w:pos="6379"/>
          </w:tabs>
          <w:ind w:left="6379" w:hanging="1134"/>
        </w:pPr>
        <w:rPr>
          <w:sz w:val="26"/>
          <w:i w:val="false"/>
          <w:b/>
          <w:szCs w:val="26"/>
        </w:rPr>
      </w:lvl>
    </w:lvlOverride>
    <w:lvlOverride w:ilvl="2">
      <w:lvl w:ilvl="2">
        <w:start w:val="1"/>
        <w:numFmt w:val="decimal"/>
        <w:lvlText w:val="%1.%2.%3"/>
        <w:lvlJc w:val="left"/>
        <w:pPr>
          <w:tabs>
            <w:tab w:val="num" w:pos="4962"/>
          </w:tabs>
          <w:ind w:left="4962" w:hanging="1134"/>
        </w:pPr>
        <w:rPr>
          <w:sz w:val="26"/>
          <w:i w:val="false"/>
          <w:b w:val="false"/>
          <w:szCs w:val="26"/>
        </w:rPr>
      </w:lvl>
    </w:lvlOverride>
  </w:num>
</w:numbering>
</file>

<file path=word/settings.xml><?xml version="1.0" encoding="utf-8"?>
<w:settings xmlns:w="http://schemas.openxmlformats.org/wordprocessingml/2006/main">
  <w:zoom w:percent="120"/>
  <w:embedSystemFonts/>
  <w:defaultTabStop w:val="567"/>
  <w:autoHyphenation w:val="true"/>
  <w:doNotHyphenateCap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357"/>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0426c"/>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1">
    <w:name w:val="Heading 1"/>
    <w:basedOn w:val="Normal"/>
    <w:next w:val="Normal"/>
    <w:qFormat/>
    <w:rsid w:val="001b3984"/>
    <w:pPr>
      <w:keepNext w:val="true"/>
      <w:keepLines/>
      <w:pageBreakBefore/>
      <w:numPr>
        <w:ilvl w:val="0"/>
        <w:numId w:val="4"/>
      </w:numPr>
      <w:tabs>
        <w:tab w:val="clear" w:pos="567"/>
        <w:tab w:val="left" w:pos="1134" w:leader="none"/>
      </w:tabs>
      <w:suppressAutoHyphens w:val="true"/>
      <w:spacing w:before="480" w:after="240"/>
      <w:ind w:left="1134" w:hanging="0"/>
      <w:jc w:val="left"/>
      <w:outlineLvl w:val="0"/>
    </w:pPr>
    <w:rPr>
      <w:rFonts w:ascii="Arial" w:hAnsi="Arial"/>
      <w:b/>
      <w:kern w:val="2"/>
      <w:sz w:val="40"/>
    </w:rPr>
  </w:style>
  <w:style w:type="paragraph" w:styleId="2">
    <w:name w:val="Heading 2"/>
    <w:basedOn w:val="Normal"/>
    <w:next w:val="Normal"/>
    <w:link w:val="24"/>
    <w:qFormat/>
    <w:rsid w:val="001b3984"/>
    <w:pPr>
      <w:keepNext w:val="true"/>
      <w:numPr>
        <w:ilvl w:val="1"/>
        <w:numId w:val="4"/>
      </w:numPr>
      <w:tabs>
        <w:tab w:val="clear" w:pos="567"/>
        <w:tab w:val="left" w:pos="1560" w:leader="none"/>
      </w:tabs>
      <w:suppressAutoHyphens w:val="true"/>
      <w:spacing w:before="360" w:after="120"/>
      <w:ind w:left="1560" w:hanging="0"/>
      <w:jc w:val="left"/>
      <w:outlineLvl w:val="1"/>
    </w:pPr>
    <w:rPr>
      <w:b/>
      <w:sz w:val="32"/>
    </w:rPr>
  </w:style>
  <w:style w:type="paragraph" w:styleId="3">
    <w:name w:val="Heading 3"/>
    <w:basedOn w:val="Normal"/>
    <w:next w:val="Normal"/>
    <w:qFormat/>
    <w:pPr>
      <w:keepNext w:val="true"/>
      <w:numPr>
        <w:ilvl w:val="2"/>
        <w:numId w:val="1"/>
      </w:numPr>
      <w:suppressAutoHyphens w:val="true"/>
      <w:spacing w:before="120" w:after="120"/>
      <w:jc w:val="left"/>
      <w:outlineLvl w:val="2"/>
    </w:pPr>
    <w:rPr>
      <w:b/>
    </w:rPr>
  </w:style>
  <w:style w:type="paragraph" w:styleId="4">
    <w:name w:val="Heading 4"/>
    <w:basedOn w:val="Normal"/>
    <w:next w:val="Normal"/>
    <w:qFormat/>
    <w:pPr>
      <w:keepNext w:val="true"/>
      <w:numPr>
        <w:ilvl w:val="3"/>
        <w:numId w:val="1"/>
      </w:numPr>
      <w:tabs>
        <w:tab w:val="clear" w:pos="567"/>
        <w:tab w:val="left" w:pos="1134" w:leader="none"/>
      </w:tabs>
      <w:suppressAutoHyphens w:val="true"/>
      <w:spacing w:before="240" w:after="120"/>
      <w:outlineLvl w:val="3"/>
    </w:pPr>
    <w:rPr>
      <w:b/>
      <w:i/>
    </w:rPr>
  </w:style>
  <w:style w:type="paragraph" w:styleId="5">
    <w:name w:val="Heading 5"/>
    <w:basedOn w:val="Normal"/>
    <w:next w:val="Normal"/>
    <w:qFormat/>
    <w:pPr>
      <w:keepNext w:val="true"/>
      <w:numPr>
        <w:ilvl w:val="4"/>
        <w:numId w:val="2"/>
      </w:numPr>
      <w:tabs>
        <w:tab w:val="clear" w:pos="567"/>
        <w:tab w:val="left" w:pos="360" w:leader="none"/>
      </w:tabs>
      <w:suppressAutoHyphens w:val="true"/>
      <w:spacing w:before="60" w:after="0"/>
      <w:ind w:left="0" w:hanging="0"/>
      <w:outlineLvl w:val="4"/>
    </w:pPr>
    <w:rPr>
      <w:b/>
    </w:rPr>
  </w:style>
  <w:style w:type="paragraph" w:styleId="6">
    <w:name w:val="Heading 6"/>
    <w:basedOn w:val="Normal"/>
    <w:next w:val="Normal"/>
    <w:qFormat/>
    <w:pPr>
      <w:widowControl w:val="false"/>
      <w:numPr>
        <w:ilvl w:val="5"/>
        <w:numId w:val="2"/>
      </w:numPr>
      <w:tabs>
        <w:tab w:val="clear" w:pos="567"/>
        <w:tab w:val="left" w:pos="360" w:leader="none"/>
      </w:tabs>
      <w:suppressAutoHyphens w:val="true"/>
      <w:spacing w:before="240" w:after="60"/>
      <w:ind w:left="0" w:hanging="0"/>
      <w:outlineLvl w:val="5"/>
    </w:pPr>
    <w:rPr>
      <w:b/>
      <w:sz w:val="22"/>
    </w:rPr>
  </w:style>
  <w:style w:type="paragraph" w:styleId="7">
    <w:name w:val="Heading 7"/>
    <w:basedOn w:val="Normal"/>
    <w:next w:val="Normal"/>
    <w:qFormat/>
    <w:pPr>
      <w:widowControl w:val="false"/>
      <w:numPr>
        <w:ilvl w:val="6"/>
        <w:numId w:val="2"/>
      </w:numPr>
      <w:tabs>
        <w:tab w:val="clear" w:pos="567"/>
        <w:tab w:val="left" w:pos="360" w:leader="none"/>
      </w:tabs>
      <w:suppressAutoHyphens w:val="true"/>
      <w:spacing w:before="240" w:after="60"/>
      <w:ind w:left="0" w:hanging="0"/>
      <w:outlineLvl w:val="6"/>
    </w:pPr>
    <w:rPr/>
  </w:style>
  <w:style w:type="paragraph" w:styleId="8">
    <w:name w:val="Heading 8"/>
    <w:basedOn w:val="Normal"/>
    <w:next w:val="Normal"/>
    <w:qFormat/>
    <w:pPr>
      <w:widowControl w:val="false"/>
      <w:numPr>
        <w:ilvl w:val="7"/>
        <w:numId w:val="2"/>
      </w:numPr>
      <w:tabs>
        <w:tab w:val="clear" w:pos="567"/>
        <w:tab w:val="left" w:pos="360" w:leader="none"/>
      </w:tabs>
      <w:suppressAutoHyphens w:val="true"/>
      <w:spacing w:before="240" w:after="60"/>
      <w:ind w:left="0" w:hanging="0"/>
      <w:outlineLvl w:val="7"/>
    </w:pPr>
    <w:rPr>
      <w:i/>
    </w:rPr>
  </w:style>
  <w:style w:type="paragraph" w:styleId="9">
    <w:name w:val="Heading 9"/>
    <w:basedOn w:val="Normal"/>
    <w:next w:val="Normal"/>
    <w:qFormat/>
    <w:pPr>
      <w:widowControl w:val="false"/>
      <w:numPr>
        <w:ilvl w:val="8"/>
        <w:numId w:val="2"/>
      </w:numPr>
      <w:tabs>
        <w:tab w:val="clear" w:pos="567"/>
        <w:tab w:val="left" w:pos="360" w:leader="none"/>
      </w:tabs>
      <w:suppressAutoHyphens w:val="true"/>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4" w:customStyle="1">
    <w:name w:val="Заголовок 2 Знак4"/>
    <w:qFormat/>
    <w:rsid w:val="001d54b3"/>
    <w:rPr>
      <w:b/>
      <w:sz w:val="32"/>
    </w:rPr>
  </w:style>
  <w:style w:type="character" w:styleId="Style5">
    <w:name w:val="Интернет-ссылка"/>
    <w:uiPriority w:val="99"/>
    <w:rPr>
      <w:color w:val="0000FF"/>
      <w:u w:val="single"/>
    </w:rPr>
  </w:style>
  <w:style w:type="character" w:styleId="Style6">
    <w:name w:val="Привязка сноски"/>
    <w:rPr>
      <w:vertAlign w:val="superscript"/>
    </w:rPr>
  </w:style>
  <w:style w:type="character" w:styleId="FootnoteCharacters">
    <w:name w:val="Footnote Characters"/>
    <w:uiPriority w:val="99"/>
    <w:qFormat/>
    <w:rPr>
      <w:vertAlign w:val="superscript"/>
    </w:rPr>
  </w:style>
  <w:style w:type="character" w:styleId="Pagenumber">
    <w:name w:val="page number"/>
    <w:qFormat/>
    <w:rPr>
      <w:rFonts w:ascii="Times New Roman" w:hAnsi="Times New Roman"/>
      <w:sz w:val="20"/>
    </w:rPr>
  </w:style>
  <w:style w:type="character" w:styleId="Style7">
    <w:name w:val="Посещённая гиперссылка"/>
    <w:rPr>
      <w:color w:val="800080"/>
      <w:u w:val="single"/>
    </w:rPr>
  </w:style>
  <w:style w:type="character" w:styleId="Style8" w:customStyle="1">
    <w:name w:val="Текст сноски Знак"/>
    <w:uiPriority w:val="99"/>
    <w:qFormat/>
    <w:rsid w:val="0006354d"/>
    <w:rPr/>
  </w:style>
  <w:style w:type="character" w:styleId="21" w:customStyle="1">
    <w:name w:val="Пункт Знак2"/>
    <w:link w:val="Style37"/>
    <w:qFormat/>
    <w:rsid w:val="007d5454"/>
    <w:rPr/>
  </w:style>
  <w:style w:type="character" w:styleId="Style9" w:customStyle="1">
    <w:name w:val="Пункт Знак"/>
    <w:qFormat/>
    <w:rPr>
      <w:sz w:val="28"/>
      <w:lang w:val="ru-RU" w:eastAsia="ru-RU" w:bidi="ar-SA"/>
    </w:rPr>
  </w:style>
  <w:style w:type="character" w:styleId="11" w:customStyle="1">
    <w:name w:val="Подпункт Знак1"/>
    <w:link w:val="Style38"/>
    <w:qFormat/>
    <w:rsid w:val="00c22e8e"/>
    <w:rPr/>
  </w:style>
  <w:style w:type="character" w:styleId="Style10" w:customStyle="1">
    <w:name w:val="Подпункт Знак"/>
    <w:qFormat/>
    <w:rPr>
      <w:sz w:val="28"/>
      <w:lang w:val="ru-RU" w:eastAsia="ru-RU" w:bidi="ar-SA"/>
    </w:rPr>
  </w:style>
  <w:style w:type="character" w:styleId="Style11" w:customStyle="1">
    <w:name w:val="комментарий"/>
    <w:qFormat/>
    <w:rsid w:val="001b3984"/>
    <w:rPr>
      <w:b/>
      <w:i/>
      <w:shd w:fill="FFFF99" w:val="clear"/>
    </w:rPr>
  </w:style>
  <w:style w:type="character" w:styleId="22" w:customStyle="1">
    <w:name w:val="Пункт2 Знак"/>
    <w:link w:val="26"/>
    <w:qFormat/>
    <w:rsid w:val="007e299e"/>
    <w:rPr>
      <w:b/>
    </w:rPr>
  </w:style>
  <w:style w:type="character" w:styleId="Style12" w:customStyle="1">
    <w:name w:val="Подподпункт Знак"/>
    <w:link w:val="Style39"/>
    <w:qFormat/>
    <w:locked/>
    <w:rsid w:val="001d54b3"/>
    <w:rPr/>
  </w:style>
  <w:style w:type="character" w:styleId="Style13" w:customStyle="1">
    <w:name w:val="Текст выноски Знак"/>
    <w:link w:val="BalloonText"/>
    <w:uiPriority w:val="99"/>
    <w:semiHidden/>
    <w:qFormat/>
    <w:locked/>
    <w:rsid w:val="00a633f7"/>
    <w:rPr>
      <w:rFonts w:ascii="Tahoma" w:hAnsi="Tahoma" w:cs="Tahoma"/>
      <w:sz w:val="16"/>
      <w:szCs w:val="16"/>
    </w:rPr>
  </w:style>
  <w:style w:type="character" w:styleId="Style14" w:customStyle="1">
    <w:name w:val="Основной текст Знак"/>
    <w:qFormat/>
    <w:rsid w:val="009b632e"/>
    <w:rPr>
      <w:sz w:val="28"/>
      <w:szCs w:val="24"/>
    </w:rPr>
  </w:style>
  <w:style w:type="character" w:styleId="Style15" w:customStyle="1">
    <w:name w:val="Текст примечания Знак"/>
    <w:link w:val="Annotationtext"/>
    <w:uiPriority w:val="99"/>
    <w:qFormat/>
    <w:locked/>
    <w:rsid w:val="00c32d67"/>
    <w:rPr/>
  </w:style>
  <w:style w:type="character" w:styleId="12"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16"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7" w:customStyle="1">
    <w:name w:val="Текст концевой сноски Знак"/>
    <w:qFormat/>
    <w:rsid w:val="006c5b2a"/>
    <w:rPr/>
  </w:style>
  <w:style w:type="character" w:styleId="Style18">
    <w:name w:val="Привязка концевой сноски"/>
    <w:rPr>
      <w:vertAlign w:val="superscript"/>
    </w:rPr>
  </w:style>
  <w:style w:type="character" w:styleId="EndnoteCharacters">
    <w:name w:val="Endnote Characters"/>
    <w:uiPriority w:val="99"/>
    <w:qFormat/>
    <w:rsid w:val="006c5b2a"/>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3" w:customStyle="1">
    <w:name w:val="Неразрешенное упоминание1"/>
    <w:basedOn w:val="DefaultParagraphFont"/>
    <w:uiPriority w:val="99"/>
    <w:semiHidden/>
    <w:unhideWhenUsed/>
    <w:qFormat/>
    <w:rsid w:val="00e50f4f"/>
    <w:rPr>
      <w:color w:val="808080"/>
      <w:shd w:fill="E6E6E6" w:val="clear"/>
    </w:rPr>
  </w:style>
  <w:style w:type="character" w:styleId="23" w:customStyle="1">
    <w:name w:val="Неразрешенное упоминание2"/>
    <w:basedOn w:val="DefaultParagraphFont"/>
    <w:uiPriority w:val="99"/>
    <w:semiHidden/>
    <w:unhideWhenUsed/>
    <w:qFormat/>
    <w:rsid w:val="00e50ef9"/>
    <w:rPr>
      <w:color w:val="808080"/>
      <w:shd w:fill="E6E6E6" w:val="clear"/>
    </w:rPr>
  </w:style>
  <w:style w:type="character" w:styleId="31"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9" w:customStyle="1">
    <w:name w:val="Примечание Знак"/>
    <w:link w:val="Style48"/>
    <w:qFormat/>
    <w:rsid w:val="00345a72"/>
    <w:rPr>
      <w:spacing w:val="20"/>
      <w:sz w:val="24"/>
    </w:rPr>
  </w:style>
  <w:style w:type="character" w:styleId="41" w:customStyle="1">
    <w:name w:val="Неразрешенное упоминание4"/>
    <w:basedOn w:val="DefaultParagraphFont"/>
    <w:uiPriority w:val="99"/>
    <w:semiHidden/>
    <w:unhideWhenUsed/>
    <w:qFormat/>
    <w:rsid w:val="00b1261b"/>
    <w:rPr>
      <w:color w:val="808080"/>
      <w:shd w:fill="E6E6E6" w:val="clear"/>
    </w:rPr>
  </w:style>
  <w:style w:type="character" w:styleId="51" w:customStyle="1">
    <w:name w:val="Неразрешенное упоминание5"/>
    <w:basedOn w:val="DefaultParagraphFont"/>
    <w:uiPriority w:val="99"/>
    <w:semiHidden/>
    <w:unhideWhenUsed/>
    <w:qFormat/>
    <w:rsid w:val="00a842f9"/>
    <w:rPr>
      <w:color w:val="808080"/>
      <w:shd w:fill="E6E6E6" w:val="clear"/>
    </w:rPr>
  </w:style>
  <w:style w:type="character" w:styleId="Style20" w:customStyle="1">
    <w:name w:val="Текст Знак"/>
    <w:basedOn w:val="DefaultParagraphFont"/>
    <w:link w:val="PlainText"/>
    <w:qFormat/>
    <w:rsid w:val="004251f3"/>
    <w:rPr>
      <w:rFonts w:ascii="Courier New" w:hAnsi="Courier New" w:cs="Courier New"/>
      <w:sz w:val="20"/>
      <w:szCs w:val="20"/>
    </w:rPr>
  </w:style>
  <w:style w:type="character" w:styleId="Style21">
    <w:name w:val="Ссылка указателя"/>
    <w:qFormat/>
    <w:rPr/>
  </w:style>
  <w:style w:type="paragraph" w:styleId="Style22">
    <w:name w:val="Заголовок"/>
    <w:basedOn w:val="Normal"/>
    <w:next w:val="Style23"/>
    <w:qFormat/>
    <w:pPr>
      <w:keepNext w:val="true"/>
      <w:spacing w:before="240" w:after="120"/>
    </w:pPr>
    <w:rPr>
      <w:rFonts w:ascii="Liberation Sans" w:hAnsi="Liberation Sans" w:eastAsia="Arial Unicode MS" w:cs="Arial Unicode MS"/>
      <w:sz w:val="28"/>
      <w:szCs w:val="28"/>
    </w:rPr>
  </w:style>
  <w:style w:type="paragraph" w:styleId="Style23">
    <w:name w:val="Body Text"/>
    <w:basedOn w:val="Normal"/>
    <w:link w:val="Style14"/>
    <w:pPr>
      <w:tabs>
        <w:tab w:val="clear" w:pos="567"/>
        <w:tab w:val="right" w:pos="9360" w:leader="none"/>
      </w:tabs>
      <w:jc w:val="left"/>
    </w:pPr>
    <w:rPr>
      <w:szCs w:val="24"/>
    </w:rPr>
  </w:style>
  <w:style w:type="paragraph" w:styleId="Style24">
    <w:name w:val="List"/>
    <w:basedOn w:val="Style23"/>
    <w:pPr/>
    <w:rPr/>
  </w:style>
  <w:style w:type="paragraph" w:styleId="Style25">
    <w:name w:val="Caption"/>
    <w:basedOn w:val="Normal"/>
    <w:qFormat/>
    <w:pPr>
      <w:suppressLineNumbers/>
      <w:spacing w:before="120" w:after="120"/>
    </w:pPr>
    <w:rPr>
      <w:i/>
      <w:iCs/>
      <w:sz w:val="24"/>
      <w:szCs w:val="24"/>
    </w:rPr>
  </w:style>
  <w:style w:type="paragraph" w:styleId="Style26">
    <w:name w:val="Указатель"/>
    <w:basedOn w:val="Normal"/>
    <w:qFormat/>
    <w:pPr>
      <w:suppressLineNumbers/>
    </w:pPr>
    <w:rPr>
      <w:lang w:val="zxx" w:eastAsia="zxx" w:bidi="zxx"/>
    </w:rPr>
  </w:style>
  <w:style w:type="paragraph" w:styleId="Style27">
    <w:name w:val="Колонтитул"/>
    <w:basedOn w:val="Normal"/>
    <w:qFormat/>
    <w:pPr/>
    <w:rPr/>
  </w:style>
  <w:style w:type="paragraph" w:styleId="Style28">
    <w:name w:val="Header"/>
    <w:basedOn w:val="Normal"/>
    <w:pPr>
      <w:pBdr>
        <w:bottom w:val="single" w:sz="4" w:space="1" w:color="000000"/>
      </w:pBdr>
      <w:tabs>
        <w:tab w:val="clear" w:pos="567"/>
        <w:tab w:val="center" w:pos="4153" w:leader="none"/>
        <w:tab w:val="right" w:pos="8306" w:leader="none"/>
      </w:tabs>
      <w:jc w:val="center"/>
    </w:pPr>
    <w:rPr>
      <w:i/>
      <w:sz w:val="20"/>
    </w:rPr>
  </w:style>
  <w:style w:type="paragraph" w:styleId="Style29">
    <w:name w:val="Footer"/>
    <w:basedOn w:val="Normal"/>
    <w:pPr>
      <w:tabs>
        <w:tab w:val="clear" w:pos="567"/>
        <w:tab w:val="center" w:pos="4253" w:leader="none"/>
        <w:tab w:val="right" w:pos="9356" w:leader="none"/>
      </w:tabs>
    </w:pPr>
    <w:rPr>
      <w:sz w:val="20"/>
    </w:rPr>
  </w:style>
  <w:style w:type="paragraph" w:styleId="14">
    <w:name w:val="TOC 1"/>
    <w:basedOn w:val="Normal"/>
    <w:next w:val="Normal"/>
    <w:autoRedefine/>
    <w:uiPriority w:val="39"/>
    <w:rsid w:val="00a842f9"/>
    <w:pPr>
      <w:tabs>
        <w:tab w:val="clear" w:pos="567"/>
        <w:tab w:val="left" w:pos="540" w:leader="none"/>
        <w:tab w:val="right" w:pos="10195" w:leader="dot"/>
      </w:tabs>
      <w:spacing w:before="240" w:after="120"/>
      <w:ind w:left="539" w:right="1134" w:hanging="539"/>
      <w:jc w:val="left"/>
    </w:pPr>
    <w:rPr>
      <w:b/>
      <w:bCs/>
      <w:caps/>
    </w:rPr>
  </w:style>
  <w:style w:type="paragraph" w:styleId="25">
    <w:name w:val="TOC 2"/>
    <w:basedOn w:val="Normal"/>
    <w:next w:val="Normal"/>
    <w:autoRedefine/>
    <w:uiPriority w:val="39"/>
    <w:rsid w:val="00a842f9"/>
    <w:pPr>
      <w:tabs>
        <w:tab w:val="clear" w:pos="567"/>
        <w:tab w:val="left" w:pos="1134" w:leader="none"/>
        <w:tab w:val="right" w:pos="10195" w:leader="dot"/>
      </w:tabs>
      <w:spacing w:before="120" w:after="60"/>
      <w:ind w:left="1134" w:right="845" w:hanging="595"/>
      <w:jc w:val="left"/>
    </w:pPr>
    <w:rPr>
      <w:b/>
      <w:sz w:val="24"/>
      <w:szCs w:val="32"/>
      <w:lang w:val="sr-CS"/>
    </w:rPr>
  </w:style>
  <w:style w:type="paragraph" w:styleId="32">
    <w:name w:val="TOC 3"/>
    <w:basedOn w:val="Normal"/>
    <w:next w:val="Normal"/>
    <w:autoRedefine/>
    <w:uiPriority w:val="39"/>
    <w:rsid w:val="001d3d1b"/>
    <w:pPr>
      <w:tabs>
        <w:tab w:val="clear" w:pos="567"/>
        <w:tab w:val="left" w:pos="1980" w:leader="none"/>
        <w:tab w:val="right" w:pos="10195" w:leader="dot"/>
      </w:tabs>
      <w:spacing w:before="120" w:after="60"/>
      <w:ind w:left="1979" w:right="1134" w:hanging="902"/>
      <w:jc w:val="left"/>
    </w:pPr>
    <w:rPr>
      <w:iCs/>
      <w:sz w:val="24"/>
      <w:szCs w:val="24"/>
    </w:rPr>
  </w:style>
  <w:style w:type="paragraph" w:styleId="42">
    <w:name w:val="TOC 4"/>
    <w:basedOn w:val="Normal"/>
    <w:next w:val="Normal"/>
    <w:autoRedefine/>
    <w:uiPriority w:val="39"/>
    <w:pPr>
      <w:tabs>
        <w:tab w:val="clear" w:pos="567"/>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30" w:customStyle="1">
    <w:name w:val="Таблица шапка"/>
    <w:basedOn w:val="Normal"/>
    <w:qFormat/>
    <w:pPr>
      <w:keepNext w:val="true"/>
      <w:spacing w:before="40" w:after="40"/>
      <w:ind w:left="57" w:right="57" w:hanging="0"/>
      <w:jc w:val="left"/>
    </w:pPr>
    <w:rPr>
      <w:sz w:val="22"/>
    </w:rPr>
  </w:style>
  <w:style w:type="paragraph" w:styleId="Style31">
    <w:name w:val="Footnote Text"/>
    <w:basedOn w:val="Normal"/>
    <w:link w:val="Style8"/>
    <w:uiPriority w:val="99"/>
    <w:pPr/>
    <w:rPr>
      <w:sz w:val="20"/>
    </w:rPr>
  </w:style>
  <w:style w:type="paragraph" w:styleId="Style32" w:customStyle="1">
    <w:name w:val="Таблица текст"/>
    <w:basedOn w:val="Normal"/>
    <w:qFormat/>
    <w:pPr>
      <w:spacing w:before="40" w:after="40"/>
      <w:ind w:left="57" w:right="57" w:hanging="0"/>
      <w:jc w:val="left"/>
    </w:pPr>
    <w:rPr>
      <w:sz w:val="24"/>
    </w:rPr>
  </w:style>
  <w:style w:type="paragraph" w:styleId="Caption">
    <w:name w:val="caption"/>
    <w:basedOn w:val="Normal"/>
    <w:next w:val="Normal"/>
    <w:qFormat/>
    <w:pPr>
      <w:pageBreakBefore/>
      <w:suppressAutoHyphens w:val="true"/>
      <w:spacing w:before="120" w:after="120"/>
    </w:pPr>
    <w:rPr>
      <w:bCs/>
      <w:i/>
      <w:sz w:val="24"/>
    </w:rPr>
  </w:style>
  <w:style w:type="paragraph" w:styleId="52">
    <w:name w:val="TOC 5"/>
    <w:basedOn w:val="Normal"/>
    <w:next w:val="Normal"/>
    <w:autoRedefine/>
    <w:uiPriority w:val="39"/>
    <w:pPr>
      <w:ind w:left="1120" w:hanging="0"/>
      <w:jc w:val="left"/>
    </w:pPr>
    <w:rPr>
      <w:sz w:val="18"/>
      <w:szCs w:val="18"/>
    </w:rPr>
  </w:style>
  <w:style w:type="paragraph" w:styleId="61">
    <w:name w:val="TOC 6"/>
    <w:basedOn w:val="Normal"/>
    <w:next w:val="Normal"/>
    <w:autoRedefine/>
    <w:uiPriority w:val="39"/>
    <w:pPr>
      <w:ind w:left="1400" w:hanging="0"/>
      <w:jc w:val="left"/>
    </w:pPr>
    <w:rPr>
      <w:sz w:val="18"/>
      <w:szCs w:val="18"/>
    </w:rPr>
  </w:style>
  <w:style w:type="paragraph" w:styleId="71">
    <w:name w:val="TOC 7"/>
    <w:basedOn w:val="Normal"/>
    <w:next w:val="Normal"/>
    <w:autoRedefine/>
    <w:uiPriority w:val="39"/>
    <w:pPr>
      <w:ind w:left="1680" w:hanging="0"/>
      <w:jc w:val="left"/>
    </w:pPr>
    <w:rPr>
      <w:sz w:val="18"/>
      <w:szCs w:val="18"/>
    </w:rPr>
  </w:style>
  <w:style w:type="paragraph" w:styleId="81">
    <w:name w:val="TOC 8"/>
    <w:basedOn w:val="Normal"/>
    <w:next w:val="Normal"/>
    <w:autoRedefine/>
    <w:uiPriority w:val="39"/>
    <w:pPr>
      <w:ind w:left="1960" w:hanging="0"/>
      <w:jc w:val="left"/>
    </w:pPr>
    <w:rPr>
      <w:sz w:val="18"/>
      <w:szCs w:val="18"/>
    </w:rPr>
  </w:style>
  <w:style w:type="paragraph" w:styleId="91">
    <w:name w:val="TOC 9"/>
    <w:basedOn w:val="Normal"/>
    <w:next w:val="Normal"/>
    <w:autoRedefine/>
    <w:uiPriority w:val="39"/>
    <w:pPr>
      <w:ind w:left="2240" w:hanging="0"/>
      <w:jc w:val="left"/>
    </w:pPr>
    <w:rPr>
      <w:sz w:val="18"/>
      <w:szCs w:val="18"/>
    </w:rPr>
  </w:style>
  <w:style w:type="paragraph" w:styleId="Style33" w:customStyle="1">
    <w:name w:val="Служебный"/>
    <w:basedOn w:val="Style34"/>
    <w:qFormat/>
    <w:pPr/>
    <w:rPr/>
  </w:style>
  <w:style w:type="paragraph" w:styleId="Style34" w:customStyle="1">
    <w:name w:val="Главы"/>
    <w:basedOn w:val="Style35"/>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35" w:customStyle="1">
    <w:name w:val="Структура"/>
    <w:basedOn w:val="Normal"/>
    <w:qFormat/>
    <w:pPr>
      <w:pageBreakBefore/>
      <w:pBdr>
        <w:bottom w:val="thinThickSmallGap" w:sz="24" w:space="1" w:color="000000"/>
      </w:pBdr>
      <w:tabs>
        <w:tab w:val="left" w:pos="567" w:leader="none"/>
        <w:tab w:val="left" w:pos="851" w:leader="none"/>
      </w:tabs>
      <w:suppressAutoHyphens w:val="true"/>
      <w:spacing w:before="480" w:after="240"/>
      <w:ind w:left="567" w:right="2835" w:hanging="567"/>
      <w:jc w:val="left"/>
      <w:outlineLvl w:val="0"/>
    </w:pPr>
    <w:rPr>
      <w:rFonts w:ascii="Arial" w:hAnsi="Arial" w:cs="Arial"/>
      <w:b/>
      <w:caps/>
      <w:sz w:val="36"/>
      <w:szCs w:val="36"/>
    </w:rPr>
  </w:style>
  <w:style w:type="paragraph" w:styleId="Style36" w:customStyle="1">
    <w:name w:val="маркированный"/>
    <w:basedOn w:val="Normal"/>
    <w:semiHidden/>
    <w:qFormat/>
    <w:pPr>
      <w:tabs>
        <w:tab w:val="clear" w:pos="567"/>
        <w:tab w:val="left" w:pos="1701" w:leader="none"/>
      </w:tabs>
      <w:ind w:left="1701" w:hanging="567"/>
    </w:pPr>
    <w:rPr/>
  </w:style>
  <w:style w:type="paragraph" w:styleId="Style37" w:customStyle="1">
    <w:name w:val="Пункт"/>
    <w:basedOn w:val="Normal"/>
    <w:link w:val="21"/>
    <w:qFormat/>
    <w:rsid w:val="001b3984"/>
    <w:pPr>
      <w:numPr>
        <w:ilvl w:val="2"/>
        <w:numId w:val="4"/>
      </w:numPr>
    </w:pPr>
    <w:rPr/>
  </w:style>
  <w:style w:type="paragraph" w:styleId="Style38" w:customStyle="1">
    <w:name w:val="Подпункт"/>
    <w:basedOn w:val="Style37"/>
    <w:link w:val="11"/>
    <w:qFormat/>
    <w:rsid w:val="001b3984"/>
    <w:pPr/>
    <w:rPr/>
  </w:style>
  <w:style w:type="paragraph" w:styleId="26" w:customStyle="1">
    <w:name w:val="Пункт2"/>
    <w:basedOn w:val="Style37"/>
    <w:link w:val="22"/>
    <w:qFormat/>
    <w:pPr>
      <w:keepNext w:val="true"/>
      <w:suppressAutoHyphens w:val="true"/>
      <w:spacing w:before="240" w:after="120"/>
      <w:jc w:val="left"/>
      <w:outlineLvl w:val="2"/>
    </w:pPr>
    <w:rPr>
      <w:b/>
    </w:rPr>
  </w:style>
  <w:style w:type="paragraph" w:styleId="Style39" w:customStyle="1">
    <w:name w:val="Подподпункт"/>
    <w:basedOn w:val="Style38"/>
    <w:link w:val="Style12"/>
    <w:qFormat/>
    <w:pPr/>
    <w:rPr/>
  </w:style>
  <w:style w:type="paragraph" w:styleId="ListNumber">
    <w:name w:val="List Number"/>
    <w:basedOn w:val="Normal"/>
    <w:qFormat/>
    <w:pPr>
      <w:tabs>
        <w:tab w:val="clear" w:pos="567"/>
        <w:tab w:val="left" w:pos="1134" w:leader="none"/>
      </w:tabs>
      <w:spacing w:before="60" w:after="0"/>
    </w:pPr>
    <w:rPr>
      <w:szCs w:val="24"/>
    </w:rPr>
  </w:style>
  <w:style w:type="paragraph" w:styleId="Style40" w:customStyle="1">
    <w:name w:val="Текст таблицы"/>
    <w:basedOn w:val="Normal"/>
    <w:semiHidden/>
    <w:qFormat/>
    <w:pPr>
      <w:spacing w:before="40" w:after="40"/>
      <w:ind w:left="57" w:right="57" w:hanging="0"/>
      <w:jc w:val="left"/>
    </w:pPr>
    <w:rPr>
      <w:sz w:val="24"/>
      <w:szCs w:val="24"/>
    </w:rPr>
  </w:style>
  <w:style w:type="paragraph" w:styleId="Style41" w:customStyle="1">
    <w:name w:val="Пункт б/н"/>
    <w:basedOn w:val="Normal"/>
    <w:qFormat/>
    <w:pPr>
      <w:tabs>
        <w:tab w:val="clear" w:pos="567"/>
        <w:tab w:val="left" w:pos="1134" w:leader="none"/>
      </w:tabs>
    </w:pPr>
    <w:rPr/>
  </w:style>
  <w:style w:type="paragraph" w:styleId="ListBullet">
    <w:name w:val="List Bullet"/>
    <w:basedOn w:val="Normal"/>
    <w:autoRedefine/>
    <w:qFormat/>
    <w:pPr>
      <w:tabs>
        <w:tab w:val="clear" w:pos="567"/>
        <w:tab w:val="left" w:pos="360" w:leader="none"/>
      </w:tabs>
      <w:ind w:left="360" w:hanging="360"/>
    </w:pPr>
    <w:rPr/>
  </w:style>
  <w:style w:type="paragraph" w:styleId="BalloonText">
    <w:name w:val="Balloon Text"/>
    <w:basedOn w:val="Normal"/>
    <w:link w:val="Style13"/>
    <w:uiPriority w:val="99"/>
    <w:semiHidden/>
    <w:qFormat/>
    <w:pPr/>
    <w:rPr>
      <w:rFonts w:ascii="Tahoma" w:hAnsi="Tahoma" w:cs="Tahoma"/>
      <w:sz w:val="16"/>
      <w:szCs w:val="16"/>
    </w:rPr>
  </w:style>
  <w:style w:type="paragraph" w:styleId="Annotationtext">
    <w:name w:val="annotation text"/>
    <w:basedOn w:val="Normal"/>
    <w:link w:val="Style15"/>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42" w:customStyle="1">
    <w:name w:val="Подподподподпункт"/>
    <w:basedOn w:val="Normal"/>
    <w:qFormat/>
    <w:pPr>
      <w:tabs>
        <w:tab w:val="clear" w:pos="567"/>
        <w:tab w:val="left" w:pos="2835" w:leader="none"/>
      </w:tabs>
      <w:ind w:left="2835" w:hanging="567"/>
    </w:pPr>
    <w:rPr/>
  </w:style>
  <w:style w:type="paragraph" w:styleId="Style43" w:customStyle="1">
    <w:name w:val="Подподподпункт"/>
    <w:basedOn w:val="Normal"/>
    <w:qFormat/>
    <w:pPr>
      <w:tabs>
        <w:tab w:val="clear" w:pos="567"/>
        <w:tab w:val="left" w:pos="2268" w:leader="none"/>
      </w:tabs>
      <w:ind w:left="2268" w:hanging="567"/>
    </w:pPr>
    <w:rPr/>
  </w:style>
  <w:style w:type="paragraph" w:styleId="Style44">
    <w:name w:val="Body Text Indent"/>
    <w:basedOn w:val="Normal"/>
    <w:pPr>
      <w:ind w:firstLine="485"/>
    </w:pPr>
    <w:rPr>
      <w:i/>
      <w:color w:val="000000"/>
      <w:szCs w:val="28"/>
    </w:rPr>
  </w:style>
  <w:style w:type="paragraph" w:styleId="Style45">
    <w:name w:val="Title"/>
    <w:basedOn w:val="Normal"/>
    <w:link w:val="Style16"/>
    <w:qFormat/>
    <w:rsid w:val="00b12101"/>
    <w:pPr>
      <w:jc w:val="center"/>
    </w:pPr>
    <w:rPr>
      <w:sz w:val="24"/>
      <w:szCs w:val="24"/>
      <w:lang w:val="x-none" w:eastAsia="x-none"/>
    </w:rPr>
  </w:style>
  <w:style w:type="paragraph" w:styleId="Normal1" w:customStyle="1">
    <w:name w:val="Normal Знак"/>
    <w:qFormat/>
    <w:rsid w:val="00b12101"/>
    <w:pPr>
      <w:widowControl w:val="fals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uiPriority w:val="34"/>
    <w:qFormat/>
    <w:rsid w:val="00b12101"/>
    <w:pPr>
      <w:spacing w:before="120" w:after="0"/>
      <w:ind w:left="720" w:hanging="0"/>
      <w:contextualSpacing/>
      <w:jc w:val="left"/>
    </w:pPr>
    <w:rPr>
      <w:rFonts w:ascii="Geneva CY" w:hAnsi="Geneva CY" w:eastAsia="Geneva"/>
      <w:sz w:val="24"/>
      <w:lang w:eastAsia="en-US"/>
    </w:rPr>
  </w:style>
  <w:style w:type="paragraph" w:styleId="33"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overflowPunct w:val="true"/>
    </w:pPr>
    <w:rPr>
      <w:bCs/>
      <w:sz w:val="24"/>
      <w:szCs w:val="22"/>
    </w:rPr>
  </w:style>
  <w:style w:type="paragraph" w:styleId="ConsPlusNonformat" w:customStyle="1">
    <w:name w:val="ConsPlusNonformat"/>
    <w:uiPriority w:val="99"/>
    <w:qFormat/>
    <w:rsid w:val="00793eb5"/>
    <w:pPr>
      <w:widowControl/>
      <w:bidi w:val="0"/>
      <w:spacing w:before="120" w:after="0"/>
      <w:jc w:val="both"/>
    </w:pPr>
    <w:rPr>
      <w:rFonts w:ascii="Courier New" w:hAnsi="Courier New" w:cs="Courier New" w:eastAsia="Times New Roman"/>
      <w:color w:val="auto"/>
      <w:kern w:val="0"/>
      <w:sz w:val="26"/>
      <w:szCs w:val="26"/>
      <w:lang w:val="ru-RU" w:eastAsia="ru-RU" w:bidi="ar-SA"/>
    </w:rPr>
  </w:style>
  <w:style w:type="paragraph" w:styleId="34" w:customStyle="1">
    <w:name w:val="Пункт_3"/>
    <w:basedOn w:val="Normal"/>
    <w:qFormat/>
    <w:rsid w:val="0003611d"/>
    <w:pPr>
      <w:tabs>
        <w:tab w:val="clear" w:pos="567"/>
        <w:tab w:val="left" w:pos="1134" w:leader="none"/>
      </w:tabs>
      <w:ind w:left="1134" w:hanging="1133"/>
    </w:pPr>
    <w:rPr/>
  </w:style>
  <w:style w:type="paragraph" w:styleId="Style46">
    <w:name w:val="Endnote Text"/>
    <w:basedOn w:val="Normal"/>
    <w:link w:val="Style17"/>
    <w:rsid w:val="006c5b2a"/>
    <w:pPr/>
    <w:rPr>
      <w:sz w:val="20"/>
    </w:rPr>
  </w:style>
  <w:style w:type="paragraph" w:styleId="15" w:customStyle="1">
    <w:name w:val="Пункт1"/>
    <w:basedOn w:val="Normal"/>
    <w:qFormat/>
    <w:rsid w:val="00910068"/>
    <w:pPr>
      <w:numPr>
        <w:ilvl w:val="0"/>
        <w:numId w:val="5"/>
      </w:numPr>
      <w:spacing w:before="240" w:after="0"/>
      <w:jc w:val="center"/>
    </w:pPr>
    <w:rPr>
      <w:rFonts w:ascii="Arial" w:hAnsi="Arial"/>
      <w:b/>
      <w:szCs w:val="28"/>
    </w:rPr>
  </w:style>
  <w:style w:type="paragraph" w:styleId="Revision">
    <w:name w:val="Revision"/>
    <w:uiPriority w:val="99"/>
    <w:semiHidden/>
    <w:qFormat/>
    <w:rsid w:val="00e21873"/>
    <w:pPr>
      <w:widowControl/>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6"/>
      </w:numPr>
      <w:jc w:val="center"/>
    </w:pPr>
    <w:rPr>
      <w:rFonts w:ascii="Arial" w:hAnsi="Arial"/>
      <w:b/>
      <w:sz w:val="36"/>
      <w:szCs w:val="28"/>
    </w:rPr>
  </w:style>
  <w:style w:type="paragraph" w:styleId="Sttext12" w:customStyle="1">
    <w:name w:val="st_text12"/>
    <w:basedOn w:val="Normal"/>
    <w:qFormat/>
    <w:rsid w:val="00785c46"/>
    <w:pPr>
      <w:tabs>
        <w:tab w:val="clear" w:pos="567"/>
        <w:tab w:val="left" w:pos="576" w:leader="none"/>
      </w:tabs>
      <w:ind w:left="576" w:hanging="576"/>
    </w:pPr>
    <w:rPr>
      <w:szCs w:val="28"/>
    </w:rPr>
  </w:style>
  <w:style w:type="paragraph" w:styleId="Sttext123" w:customStyle="1">
    <w:name w:val="st_text123"/>
    <w:basedOn w:val="Normal"/>
    <w:qFormat/>
    <w:rsid w:val="00785c46"/>
    <w:pPr>
      <w:tabs>
        <w:tab w:val="clear" w:pos="567"/>
        <w:tab w:val="left" w:pos="720" w:leader="none"/>
      </w:tabs>
      <w:ind w:left="720" w:hanging="720"/>
    </w:pPr>
    <w:rPr>
      <w:szCs w:val="28"/>
    </w:rPr>
  </w:style>
  <w:style w:type="paragraph" w:styleId="Sttext1234" w:customStyle="1">
    <w:name w:val="st_text1234"/>
    <w:basedOn w:val="Normal"/>
    <w:qFormat/>
    <w:rsid w:val="00785c46"/>
    <w:pPr>
      <w:tabs>
        <w:tab w:val="clear" w:pos="567"/>
        <w:tab w:val="left" w:pos="864" w:leader="none"/>
      </w:tabs>
      <w:ind w:left="864" w:hanging="864"/>
    </w:pPr>
    <w:rPr>
      <w:szCs w:val="28"/>
    </w:rPr>
  </w:style>
  <w:style w:type="paragraph" w:styleId="16" w:customStyle="1">
    <w:name w:val="Заголовок1"/>
    <w:basedOn w:val="Normal"/>
    <w:qFormat/>
    <w:rsid w:val="00a633f7"/>
    <w:pPr>
      <w:tabs>
        <w:tab w:val="left" w:pos="567" w:leader="none"/>
      </w:tabs>
      <w:spacing w:before="240" w:after="0"/>
      <w:ind w:left="567" w:hanging="279"/>
      <w:jc w:val="center"/>
    </w:pPr>
    <w:rPr>
      <w:b/>
      <w:szCs w:val="28"/>
    </w:rPr>
  </w:style>
  <w:style w:type="paragraph" w:styleId="Style47" w:customStyle="1">
    <w:name w:val="русгидро п.п.п.п."/>
    <w:basedOn w:val="Normal"/>
    <w:qFormat/>
    <w:rsid w:val="00a633f7"/>
    <w:pPr>
      <w:tabs>
        <w:tab w:val="clear" w:pos="567"/>
        <w:tab w:val="left" w:pos="1843" w:leader="none"/>
        <w:tab w:val="left" w:pos="2269" w:leader="none"/>
      </w:tabs>
      <w:ind w:left="2269" w:hanging="567"/>
    </w:pPr>
    <w:rPr>
      <w:szCs w:val="28"/>
    </w:rPr>
  </w:style>
  <w:style w:type="paragraph" w:styleId="Style48" w:customStyle="1">
    <w:name w:val="Примечание"/>
    <w:basedOn w:val="Normal"/>
    <w:link w:val="Style19"/>
    <w:qFormat/>
    <w:rsid w:val="00345a72"/>
    <w:pPr>
      <w:spacing w:before="240" w:after="240"/>
      <w:ind w:left="1701" w:right="567" w:hanging="0"/>
    </w:pPr>
    <w:rPr>
      <w:spacing w:val="20"/>
      <w:sz w:val="24"/>
    </w:rPr>
  </w:style>
  <w:style w:type="paragraph" w:styleId="17" w:customStyle="1">
    <w:name w:val="Пункт_1"/>
    <w:basedOn w:val="Normal"/>
    <w:qFormat/>
    <w:rsid w:val="00f51ba9"/>
    <w:pPr>
      <w:keepNext w:val="true"/>
      <w:tabs>
        <w:tab w:val="clear" w:pos="567"/>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PlainText">
    <w:name w:val="Plain Text"/>
    <w:basedOn w:val="Normal"/>
    <w:link w:val="Style20"/>
    <w:qFormat/>
    <w:rsid w:val="004251f3"/>
    <w:pPr>
      <w:spacing w:before="0" w:after="0"/>
      <w:jc w:val="left"/>
    </w:pPr>
    <w:rPr>
      <w:rFonts w:ascii="Courier New" w:hAnsi="Courier New" w:cs="Courier New"/>
      <w:sz w:val="20"/>
      <w:szCs w:val="20"/>
    </w:rPr>
  </w:style>
  <w:style w:type="paragraph" w:styleId="Body1" w:customStyle="1">
    <w:name w:val="Body 1"/>
    <w:basedOn w:val="Normal"/>
    <w:qFormat/>
    <w:rsid w:val="00b2721c"/>
    <w:pPr>
      <w:spacing w:lineRule="auto" w:line="290" w:before="0" w:after="140"/>
      <w:ind w:left="567" w:hanging="0"/>
    </w:pPr>
    <w:rPr>
      <w:rFonts w:ascii="Arial" w:hAnsi="Arial"/>
      <w:kern w:val="2"/>
      <w:sz w:val="20"/>
      <w:szCs w:val="20"/>
      <w:lang w:val="en-GB" w:eastAsia="en-US"/>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c">
    <w:name w:val="Table Grid"/>
    <w:basedOn w:val="a4"/>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Сетка таблицы211"/>
    <w:basedOn w:val="a4"/>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Сетка таблицы2"/>
    <w:basedOn w:val="a4"/>
    <w:uiPriority w:val="39"/>
    <w:rsid w:val="00b2721c"/>
    <w:pPr>
      <w:spacing w:before="0"/>
      <w:jc w:val="left"/>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https://lot-online.ru" TargetMode="External"/><Relationship Id="rId3" Type="http://schemas.openxmlformats.org/officeDocument/2006/relationships/image" Target="media/image1.wmf"/><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image" Target="media/image5.wmf"/><Relationship Id="rId8" Type="http://schemas.openxmlformats.org/officeDocument/2006/relationships/image" Target="media/image6.wmf"/><Relationship Id="rId9" Type="http://schemas.openxmlformats.org/officeDocument/2006/relationships/image" Target="media/image7.wmf"/><Relationship Id="rId10" Type="http://schemas.openxmlformats.org/officeDocument/2006/relationships/image" Target="media/image8.wmf"/><Relationship Id="rId11" Type="http://schemas.openxmlformats.org/officeDocument/2006/relationships/image" Target="media/image9.wmf"/><Relationship Id="rId12" Type="http://schemas.openxmlformats.org/officeDocument/2006/relationships/image" Target="media/image10.wmf"/><Relationship Id="rId13" Type="http://schemas.openxmlformats.org/officeDocument/2006/relationships/image" Target="media/image11.wmf"/><Relationship Id="rId14" Type="http://schemas.openxmlformats.org/officeDocument/2006/relationships/image" Target="media/image12.wmf"/><Relationship Id="rId15" Type="http://schemas.openxmlformats.org/officeDocument/2006/relationships/image" Target="media/image13.w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B6D01-240F-4A31-BF43-E34FAA56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AlterOffice/3.2.9.1$Linux_X86_64 LibreOffice_project/f6fcdc9ef8f5642eaaec34925899f1250a32c141</Application>
  <AppVersion>15.0000</AppVersion>
  <Pages>53</Pages>
  <Words>8473</Words>
  <Characters>59041</Characters>
  <CharactersWithSpaces>66697</CharactersWithSpaces>
  <Paragraphs>725</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2023-06-02T14:03:00Z</dcterms:created>
  <dc:creator>ИнКонТех</dc:creator>
  <dc:description/>
  <dc:language>ru-RU</dc:language>
  <cp:lastModifiedBy>chepchukvi@corp.gidroogk.com</cp:lastModifiedBy>
  <cp:lastPrinted>2018-05-25T11:25:00Z</cp:lastPrinted>
  <dcterms:modified xsi:type="dcterms:W3CDTF">2023-06-13T14:32:48Z</dcterms:modified>
  <cp:revision>5</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