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-2" w:firstLine="284"/>
        <w:contextualSpacing/>
        <w:jc w:val="center"/>
        <w:rPr/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Веселов Алексей Андреевич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Костромской области от 02.06.2020 г. по делу № А31–11465/2018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Веселова Алексея Андреевича </w:t>
      </w:r>
      <w:r>
        <w:rPr>
          <w:sz w:val="22"/>
          <w:szCs w:val="22"/>
        </w:rPr>
        <w:t>(СНИЛС 054-477-116 65, ИНН 441600033704, ОГРНИП 307443434800018)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p>
      <w:pPr>
        <w:pStyle w:val="Normal"/>
        <w:autoSpaceDE w:val="false"/>
        <w:ind w:right="-423" w:firstLine="284"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326</Words>
  <Characters>2127</Characters>
  <CharactersWithSpaces>2444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2020-07-08T15:10:09Z</dcterms:created>
  <dc:creator/>
  <dc:description/>
  <dc:language>ru-RU</dc:language>
  <cp:lastModifiedBy/>
  <dcterms:modified xsi:type="dcterms:W3CDTF">2020-07-08T15:10:36Z</dcterms:modified>
  <cp:revision>1</cp:revision>
  <dc:subject/>
  <dc:title/>
</cp:coreProperties>
</file>