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B375" w14:textId="01C2E305" w:rsidR="00B85575" w:rsidRPr="00F91931" w:rsidRDefault="003C34AC" w:rsidP="00B85575">
      <w:pPr>
        <w:ind w:firstLine="709"/>
        <w:jc w:val="both"/>
        <w:rPr>
          <w:b/>
          <w:bCs/>
        </w:rPr>
      </w:pPr>
      <w:r w:rsidRPr="0081670A">
        <w:rPr>
          <w:b/>
          <w:bCs/>
        </w:rPr>
        <w:t>АО «Российский аукционный дом» сообщает о вн</w:t>
      </w:r>
      <w:r w:rsidR="0080338E" w:rsidRPr="0081670A">
        <w:rPr>
          <w:b/>
          <w:bCs/>
        </w:rPr>
        <w:t>есении</w:t>
      </w:r>
      <w:r w:rsidR="00CC2365" w:rsidRPr="0081670A">
        <w:rPr>
          <w:b/>
          <w:bCs/>
        </w:rPr>
        <w:t xml:space="preserve"> следующих</w:t>
      </w:r>
      <w:r w:rsidR="0080338E" w:rsidRPr="0081670A">
        <w:rPr>
          <w:b/>
          <w:bCs/>
        </w:rPr>
        <w:t xml:space="preserve"> изменений</w:t>
      </w:r>
      <w:r w:rsidR="00F60A32" w:rsidRPr="0081670A">
        <w:rPr>
          <w:b/>
          <w:bCs/>
        </w:rPr>
        <w:t xml:space="preserve"> </w:t>
      </w:r>
      <w:r w:rsidR="00CC2365" w:rsidRPr="0081670A">
        <w:rPr>
          <w:b/>
          <w:bCs/>
        </w:rPr>
        <w:t xml:space="preserve">в </w:t>
      </w:r>
      <w:r w:rsidR="00F60A32" w:rsidRPr="0081670A">
        <w:rPr>
          <w:b/>
          <w:bCs/>
        </w:rPr>
        <w:t xml:space="preserve">информационное сообщение </w:t>
      </w:r>
      <w:bookmarkStart w:id="0" w:name="_Hlk7012227"/>
      <w:r w:rsidR="00A17B4B" w:rsidRPr="0081670A">
        <w:rPr>
          <w:b/>
          <w:bCs/>
        </w:rPr>
        <w:t>о</w:t>
      </w:r>
      <w:r w:rsidR="00B85575" w:rsidRPr="0081670A">
        <w:rPr>
          <w:b/>
          <w:bCs/>
        </w:rPr>
        <w:t xml:space="preserve"> продаже с </w:t>
      </w:r>
      <w:r w:rsidR="00E8250F">
        <w:rPr>
          <w:b/>
          <w:bCs/>
        </w:rPr>
        <w:t xml:space="preserve">электронного </w:t>
      </w:r>
      <w:r w:rsidR="00B85575" w:rsidRPr="0081670A">
        <w:rPr>
          <w:b/>
          <w:bCs/>
        </w:rPr>
        <w:t xml:space="preserve">аукциона </w:t>
      </w:r>
      <w:r w:rsidR="00E8250F" w:rsidRPr="00E8250F">
        <w:rPr>
          <w:b/>
          <w:bCs/>
        </w:rPr>
        <w:t>объекта недвижимости, расположенного по адресу: Саратовская область, г. Саратов, ул. Московская, д. 152, по Лоту №1 (РАД-255002), опубликованное на сайте https://www.saratov.kp.ru/ 25.03.2021 г.</w:t>
      </w:r>
    </w:p>
    <w:bookmarkEnd w:id="0"/>
    <w:p w14:paraId="386A667F" w14:textId="77777777" w:rsidR="00B85575" w:rsidRPr="00F91931" w:rsidRDefault="00B85575" w:rsidP="00B85575">
      <w:pPr>
        <w:ind w:firstLine="709"/>
        <w:jc w:val="both"/>
        <w:rPr>
          <w:b/>
          <w:bCs/>
        </w:rPr>
      </w:pPr>
    </w:p>
    <w:p w14:paraId="64EAEB8E" w14:textId="77777777" w:rsidR="00B85575" w:rsidRDefault="00967069" w:rsidP="00B85575">
      <w:pPr>
        <w:widowControl/>
        <w:suppressAutoHyphens w:val="0"/>
        <w:spacing w:after="160" w:line="259" w:lineRule="auto"/>
        <w:ind w:firstLine="709"/>
        <w:jc w:val="center"/>
        <w:rPr>
          <w:rFonts w:eastAsiaTheme="minorHAnsi" w:cs="Times New Roman"/>
          <w:b/>
          <w:kern w:val="0"/>
          <w:u w:val="single"/>
          <w:lang w:eastAsia="en-US" w:bidi="ar-SA"/>
        </w:rPr>
      </w:pPr>
      <w:r>
        <w:rPr>
          <w:rFonts w:eastAsiaTheme="minorHAnsi" w:cs="Times New Roman"/>
          <w:b/>
          <w:kern w:val="0"/>
          <w:u w:val="single"/>
          <w:lang w:eastAsia="en-US" w:bidi="ar-SA"/>
        </w:rPr>
        <w:t>В</w:t>
      </w:r>
      <w:r w:rsidR="00B85575" w:rsidRPr="00AA2C2B">
        <w:rPr>
          <w:rFonts w:eastAsiaTheme="minorHAnsi" w:cs="Times New Roman"/>
          <w:b/>
          <w:kern w:val="0"/>
          <w:u w:val="single"/>
          <w:lang w:eastAsia="en-US" w:bidi="ar-SA"/>
        </w:rPr>
        <w:t xml:space="preserve"> информационно</w:t>
      </w:r>
      <w:r>
        <w:rPr>
          <w:rFonts w:eastAsiaTheme="minorHAnsi" w:cs="Times New Roman"/>
          <w:b/>
          <w:kern w:val="0"/>
          <w:u w:val="single"/>
          <w:lang w:eastAsia="en-US" w:bidi="ar-SA"/>
        </w:rPr>
        <w:t>м</w:t>
      </w:r>
      <w:r w:rsidR="00B85575" w:rsidRPr="00AA2C2B">
        <w:rPr>
          <w:rFonts w:eastAsiaTheme="minorHAnsi" w:cs="Times New Roman"/>
          <w:b/>
          <w:kern w:val="0"/>
          <w:u w:val="single"/>
          <w:lang w:eastAsia="en-US" w:bidi="ar-SA"/>
        </w:rPr>
        <w:t xml:space="preserve"> сообщени</w:t>
      </w:r>
      <w:r>
        <w:rPr>
          <w:rFonts w:eastAsiaTheme="minorHAnsi" w:cs="Times New Roman"/>
          <w:b/>
          <w:kern w:val="0"/>
          <w:u w:val="single"/>
          <w:lang w:eastAsia="en-US" w:bidi="ar-SA"/>
        </w:rPr>
        <w:t>и</w:t>
      </w:r>
      <w:r w:rsidR="00B85575">
        <w:rPr>
          <w:rFonts w:eastAsiaTheme="minorHAnsi" w:cs="Times New Roman"/>
          <w:b/>
          <w:kern w:val="0"/>
          <w:u w:val="single"/>
          <w:lang w:eastAsia="en-US" w:bidi="ar-SA"/>
        </w:rPr>
        <w:t xml:space="preserve"> читать в следующей редакции абзац</w:t>
      </w:r>
      <w:r w:rsidR="00B65B92">
        <w:rPr>
          <w:rFonts w:eastAsiaTheme="minorHAnsi" w:cs="Times New Roman"/>
          <w:b/>
          <w:kern w:val="0"/>
          <w:u w:val="single"/>
          <w:lang w:eastAsia="en-US" w:bidi="ar-SA"/>
        </w:rPr>
        <w:t>ы</w:t>
      </w:r>
      <w:r w:rsidR="00B85575" w:rsidRPr="00AA2C2B">
        <w:rPr>
          <w:rFonts w:eastAsiaTheme="minorHAnsi" w:cs="Times New Roman"/>
          <w:b/>
          <w:kern w:val="0"/>
          <w:u w:val="single"/>
          <w:lang w:eastAsia="en-US" w:bidi="ar-SA"/>
        </w:rPr>
        <w:t>:</w:t>
      </w:r>
    </w:p>
    <w:p w14:paraId="7502B8E5" w14:textId="71E0AADD" w:rsidR="00E8250F" w:rsidRPr="00E8250F" w:rsidRDefault="00B85575" w:rsidP="00E8250F">
      <w:pPr>
        <w:ind w:firstLine="567"/>
        <w:jc w:val="both"/>
        <w:rPr>
          <w:color w:val="000000"/>
          <w:shd w:val="clear" w:color="auto" w:fill="FFFFFF"/>
        </w:rPr>
      </w:pPr>
      <w:r>
        <w:rPr>
          <w:b/>
          <w:kern w:val="2"/>
        </w:rPr>
        <w:t>«</w:t>
      </w:r>
      <w:r w:rsidR="00E8250F" w:rsidRPr="00E8250F">
        <w:rPr>
          <w:color w:val="000000"/>
          <w:shd w:val="clear" w:color="auto" w:fill="FFFFFF"/>
        </w:rPr>
        <w:t xml:space="preserve">2. Обязательным условием является заключение с Победителем/Единственным участником аукциона договора аренды нежилых помещений части Объекта, расположенных на 1 этаже и на антресоли, для осуществления банковской, офисной деятельности,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одновременно с заключением договора купли-продажи Объекта на следующих условиях и по форме, являющейся приложением к аукционной документации: </w:t>
      </w:r>
    </w:p>
    <w:p w14:paraId="047C15B1"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объектом аренды является часть Объекта общей площадью не более 791,6 кв. м (далее – Часть Объекта), состоящая из комнат: №№ 1-15, 18-23, 26-32, 35-38, 40-47, 50 общей площадью 631 кв. м, расположенных на первом этаже, и комнат на поэтажном плане № 2,4 общей площадью 160,6 кв. м, расположенных на антресоли; </w:t>
      </w:r>
    </w:p>
    <w:p w14:paraId="2758DB61"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Срок аренды – 10 (десять) лет; </w:t>
      </w:r>
    </w:p>
    <w:p w14:paraId="16E4D4EF"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Арендная плата за 1 календарный месяц за Часть Объекта общей площадью 791,6 кв. м составляет 468 846 (четыреста шестьдесят восемь тысяч восемьсот сорок шесть) рублей 80 копеек, в т.ч. НДС 20%/ НДС не облагается, в зависимости от применяемой Арендодателем системы налогообложения, в т.ч.: </w:t>
      </w:r>
    </w:p>
    <w:p w14:paraId="63C98D3E"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за помещения первого этажа, не более 615 рублей за 1 кв.м в месяц, итого за 631 кв. м в месяц 388 065 (Триста восемьдесят восемь тысяч шестьдесят пять) рублей 00 копеек, с учетом НДС/НДС не облагается, в зависимости от применяемой Арендодателем системы налогообложения; </w:t>
      </w:r>
    </w:p>
    <w:p w14:paraId="463C7B1C"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за помещения антресоли не более 503 рубля за 1 кв.м в месяц, итого за 160,6 кв. м в месяц 80 781 (Восемьдесят тысяч семьсот восемьдесят один) рубль 80 копеек, с учетом НДС/НДС не облагается, в зависимости от применяемой Арендодателем системы налогообложения; </w:t>
      </w:r>
    </w:p>
    <w:p w14:paraId="194BB71E"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Арендная плата включает в себя платежи за пользование Частью Объекта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за исключением Части Объекта, очистку кровли Здания, в котором находится Часть Объекта,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территории, внутреннюю уборку Части Объекта, вывоз ТКО, дератизацию и дезинсекцию Части Объекта, техническое обслуживание систем теплоснабжения, энергоснабжения, холодного водоснабжения, водоотведения Части Объекта); </w:t>
      </w:r>
    </w:p>
    <w:p w14:paraId="08BCBA7E"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к площади всего Здания; </w:t>
      </w:r>
    </w:p>
    <w:p w14:paraId="4B4B16EA"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Расходы по вывозу ТКО, дератизации и дезинсекции, техническому обслуживанию систем </w:t>
      </w:r>
      <w:r w:rsidRPr="00E8250F">
        <w:rPr>
          <w:color w:val="000000"/>
          <w:shd w:val="clear" w:color="auto" w:fill="FFFFFF"/>
        </w:rPr>
        <w:lastRenderedPageBreak/>
        <w:t xml:space="preserve">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 </w:t>
      </w:r>
    </w:p>
    <w:p w14:paraId="1ABAF01E"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Арендатор вправе изменить, в т. ч. уменьшить, арендуемую площадь Части Объекта,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оформляется письменно в виде дополнительного соглашения к Договору. </w:t>
      </w:r>
    </w:p>
    <w:p w14:paraId="109A71F6"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 </w:t>
      </w:r>
    </w:p>
    <w:p w14:paraId="1012B3A6"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Арендодатель не вправе в одностороннем внесудебном порядке требовать досрочного расторжения Договора за исключением случаев, когда Арендатор: </w:t>
      </w:r>
    </w:p>
    <w:p w14:paraId="3882B382"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использует Часть имущества не по назначению либо с неоднократным существенным нарушением правил пользования Частью Объекта. </w:t>
      </w:r>
    </w:p>
    <w:p w14:paraId="092D51A7"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более двух раз подряд по истечении установленного Договором срока платежа не вносит арендную плату. </w:t>
      </w:r>
    </w:p>
    <w:p w14:paraId="2AA23BD3" w14:textId="77777777" w:rsidR="00E8250F" w:rsidRPr="00E8250F" w:rsidRDefault="00E8250F" w:rsidP="00E8250F">
      <w:pPr>
        <w:ind w:firstLine="567"/>
        <w:jc w:val="both"/>
        <w:rPr>
          <w:color w:val="000000"/>
          <w:shd w:val="clear" w:color="auto" w:fill="FFFFFF"/>
        </w:rPr>
      </w:pPr>
      <w:r w:rsidRPr="00E8250F">
        <w:rPr>
          <w:color w:val="000000"/>
          <w:shd w:val="clear" w:color="auto" w:fill="FFFFFF"/>
        </w:rPr>
        <w:t xml:space="preserve">•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 </w:t>
      </w:r>
    </w:p>
    <w:p w14:paraId="5ACC9A4A" w14:textId="40FE58BF" w:rsidR="00B85575" w:rsidRDefault="00E8250F" w:rsidP="00E8250F">
      <w:pPr>
        <w:ind w:firstLine="567"/>
        <w:jc w:val="both"/>
        <w:rPr>
          <w:kern w:val="2"/>
        </w:rPr>
      </w:pPr>
      <w:r w:rsidRPr="00E8250F">
        <w:rPr>
          <w:color w:val="000000"/>
          <w:shd w:val="clear" w:color="auto" w:fill="FFFFFF"/>
        </w:rPr>
        <w:t>• Стоимость произведенных Арендатором за счет собственных средств и с согласия Арендодателя улучшений арендованной Части Объекта, не отделимых без вреда для Части Объекта,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Объекта»</w:t>
      </w:r>
    </w:p>
    <w:sectPr w:rsidR="00B85575" w:rsidSect="00572524">
      <w:pgSz w:w="11906" w:h="16838"/>
      <w:pgMar w:top="1134" w:right="70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sGothic_A.Z_PS">
    <w:altName w:val="Courier New"/>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C016780"/>
    <w:multiLevelType w:val="hybridMultilevel"/>
    <w:tmpl w:val="AD10AB6A"/>
    <w:lvl w:ilvl="0" w:tplc="5C14F1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70E31C7"/>
    <w:multiLevelType w:val="hybridMultilevel"/>
    <w:tmpl w:val="5C909A7C"/>
    <w:lvl w:ilvl="0" w:tplc="EA08EC7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82"/>
    <w:rsid w:val="00036882"/>
    <w:rsid w:val="00041700"/>
    <w:rsid w:val="000A2B5E"/>
    <w:rsid w:val="000B39C4"/>
    <w:rsid w:val="000B3F8C"/>
    <w:rsid w:val="000C4275"/>
    <w:rsid w:val="000D2F2B"/>
    <w:rsid w:val="000D50BA"/>
    <w:rsid w:val="000F4D5A"/>
    <w:rsid w:val="00102E83"/>
    <w:rsid w:val="00115B4E"/>
    <w:rsid w:val="00133427"/>
    <w:rsid w:val="00157EF6"/>
    <w:rsid w:val="001769C1"/>
    <w:rsid w:val="0017779B"/>
    <w:rsid w:val="00214936"/>
    <w:rsid w:val="002744E0"/>
    <w:rsid w:val="002B6B7E"/>
    <w:rsid w:val="002D0DB7"/>
    <w:rsid w:val="002F2FF5"/>
    <w:rsid w:val="00317131"/>
    <w:rsid w:val="00326140"/>
    <w:rsid w:val="00386F65"/>
    <w:rsid w:val="0039621F"/>
    <w:rsid w:val="003A2063"/>
    <w:rsid w:val="003C34AC"/>
    <w:rsid w:val="003C56D0"/>
    <w:rsid w:val="003D21B1"/>
    <w:rsid w:val="00411634"/>
    <w:rsid w:val="00413959"/>
    <w:rsid w:val="004151B0"/>
    <w:rsid w:val="00435B85"/>
    <w:rsid w:val="004517F3"/>
    <w:rsid w:val="00453BE2"/>
    <w:rsid w:val="004A6D1B"/>
    <w:rsid w:val="004E5969"/>
    <w:rsid w:val="004F17C8"/>
    <w:rsid w:val="005017F9"/>
    <w:rsid w:val="00546AC8"/>
    <w:rsid w:val="005539EA"/>
    <w:rsid w:val="00572524"/>
    <w:rsid w:val="00572DD1"/>
    <w:rsid w:val="00583851"/>
    <w:rsid w:val="005A16B5"/>
    <w:rsid w:val="005E47D1"/>
    <w:rsid w:val="005F1334"/>
    <w:rsid w:val="005F5E38"/>
    <w:rsid w:val="005F7E3A"/>
    <w:rsid w:val="0060627A"/>
    <w:rsid w:val="00612C44"/>
    <w:rsid w:val="006311F2"/>
    <w:rsid w:val="0069709C"/>
    <w:rsid w:val="006B455D"/>
    <w:rsid w:val="006B7E01"/>
    <w:rsid w:val="006D108E"/>
    <w:rsid w:val="0074791B"/>
    <w:rsid w:val="00772F68"/>
    <w:rsid w:val="00782AB4"/>
    <w:rsid w:val="007F1566"/>
    <w:rsid w:val="0080338E"/>
    <w:rsid w:val="00814F58"/>
    <w:rsid w:val="0081670A"/>
    <w:rsid w:val="00824942"/>
    <w:rsid w:val="008260C2"/>
    <w:rsid w:val="008626F9"/>
    <w:rsid w:val="00880B37"/>
    <w:rsid w:val="00885BF8"/>
    <w:rsid w:val="008B249B"/>
    <w:rsid w:val="008B49E1"/>
    <w:rsid w:val="008D7344"/>
    <w:rsid w:val="00905D84"/>
    <w:rsid w:val="00941BC3"/>
    <w:rsid w:val="00963519"/>
    <w:rsid w:val="00967069"/>
    <w:rsid w:val="00976E5D"/>
    <w:rsid w:val="009A3BA1"/>
    <w:rsid w:val="009A7FB2"/>
    <w:rsid w:val="009E25CA"/>
    <w:rsid w:val="009F39C3"/>
    <w:rsid w:val="00A17B4B"/>
    <w:rsid w:val="00A60318"/>
    <w:rsid w:val="00A62A95"/>
    <w:rsid w:val="00AA2C2B"/>
    <w:rsid w:val="00AB251A"/>
    <w:rsid w:val="00AF18FF"/>
    <w:rsid w:val="00B26F98"/>
    <w:rsid w:val="00B33800"/>
    <w:rsid w:val="00B360FE"/>
    <w:rsid w:val="00B65B92"/>
    <w:rsid w:val="00B85575"/>
    <w:rsid w:val="00BC4707"/>
    <w:rsid w:val="00CB2EE9"/>
    <w:rsid w:val="00CC2365"/>
    <w:rsid w:val="00CE079D"/>
    <w:rsid w:val="00CE4B3D"/>
    <w:rsid w:val="00CF707B"/>
    <w:rsid w:val="00D21410"/>
    <w:rsid w:val="00D57FBF"/>
    <w:rsid w:val="00DA5A45"/>
    <w:rsid w:val="00DB6322"/>
    <w:rsid w:val="00DC12FC"/>
    <w:rsid w:val="00DC4710"/>
    <w:rsid w:val="00DC73BD"/>
    <w:rsid w:val="00DF6F6E"/>
    <w:rsid w:val="00E05979"/>
    <w:rsid w:val="00E160C0"/>
    <w:rsid w:val="00E51EC1"/>
    <w:rsid w:val="00E8250F"/>
    <w:rsid w:val="00E86853"/>
    <w:rsid w:val="00E904EE"/>
    <w:rsid w:val="00F33C1F"/>
    <w:rsid w:val="00F434D3"/>
    <w:rsid w:val="00F60A32"/>
    <w:rsid w:val="00F67CE9"/>
    <w:rsid w:val="00F753B0"/>
    <w:rsid w:val="00F91931"/>
    <w:rsid w:val="00F92E65"/>
    <w:rsid w:val="00FE1372"/>
    <w:rsid w:val="00FE324F"/>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10765"/>
  <w15:chartTrackingRefBased/>
  <w15:docId w15:val="{452CAFDB-DB69-49CD-9040-1703C79A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a3">
    <w:name w:val="Hyperlink"/>
    <w:rPr>
      <w:color w:val="000080"/>
      <w:u w:val="single"/>
    </w:rPr>
  </w:style>
  <w:style w:type="character" w:customStyle="1" w:styleId="a4">
    <w:name w:val="Символ нумерации"/>
  </w:style>
  <w:style w:type="paragraph" w:customStyle="1" w:styleId="1">
    <w:name w:val="Заголовок1"/>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7">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8">
    <w:name w:val="Balloon Text"/>
    <w:basedOn w:val="a"/>
    <w:link w:val="a9"/>
    <w:uiPriority w:val="99"/>
    <w:semiHidden/>
    <w:unhideWhenUsed/>
    <w:rsid w:val="009A7FB2"/>
    <w:rPr>
      <w:rFonts w:ascii="Segoe UI" w:hAnsi="Segoe UI" w:cs="Mangal"/>
      <w:sz w:val="18"/>
      <w:szCs w:val="16"/>
    </w:rPr>
  </w:style>
  <w:style w:type="character" w:customStyle="1" w:styleId="a9">
    <w:name w:val="Текст выноски Знак"/>
    <w:link w:val="a8"/>
    <w:uiPriority w:val="99"/>
    <w:semiHidden/>
    <w:rsid w:val="009A7FB2"/>
    <w:rPr>
      <w:rFonts w:ascii="Segoe UI" w:eastAsia="SimSun" w:hAnsi="Segoe UI" w:cs="Mangal"/>
      <w:kern w:val="1"/>
      <w:sz w:val="18"/>
      <w:szCs w:val="16"/>
      <w:lang w:eastAsia="hi-IN" w:bidi="hi-IN"/>
    </w:rPr>
  </w:style>
  <w:style w:type="paragraph" w:styleId="aa">
    <w:name w:val="List Paragraph"/>
    <w:basedOn w:val="a"/>
    <w:uiPriority w:val="34"/>
    <w:qFormat/>
    <w:rsid w:val="0074791B"/>
    <w:pPr>
      <w:ind w:left="720"/>
      <w:contextualSpacing/>
    </w:pPr>
    <w:rPr>
      <w:rFonts w:cs="Mangal"/>
      <w:szCs w:val="21"/>
    </w:rPr>
  </w:style>
  <w:style w:type="paragraph" w:styleId="2">
    <w:name w:val="Body Text 2"/>
    <w:basedOn w:val="a"/>
    <w:link w:val="20"/>
    <w:uiPriority w:val="99"/>
    <w:semiHidden/>
    <w:unhideWhenUsed/>
    <w:rsid w:val="00AA2C2B"/>
    <w:pPr>
      <w:spacing w:after="120" w:line="480" w:lineRule="auto"/>
    </w:pPr>
    <w:rPr>
      <w:rFonts w:cs="Mangal"/>
      <w:szCs w:val="21"/>
    </w:rPr>
  </w:style>
  <w:style w:type="character" w:customStyle="1" w:styleId="20">
    <w:name w:val="Основной текст 2 Знак"/>
    <w:basedOn w:val="a0"/>
    <w:link w:val="2"/>
    <w:uiPriority w:val="99"/>
    <w:semiHidden/>
    <w:rsid w:val="00AA2C2B"/>
    <w:rPr>
      <w:rFonts w:eastAsia="SimSun" w:cs="Mangal"/>
      <w:kern w:val="1"/>
      <w:sz w:val="24"/>
      <w:szCs w:val="21"/>
      <w:lang w:eastAsia="hi-IN" w:bidi="hi-IN"/>
    </w:rPr>
  </w:style>
  <w:style w:type="character" w:styleId="ab">
    <w:name w:val="Unresolved Mention"/>
    <w:basedOn w:val="a0"/>
    <w:uiPriority w:val="99"/>
    <w:semiHidden/>
    <w:unhideWhenUsed/>
    <w:rsid w:val="003A2063"/>
    <w:rPr>
      <w:color w:val="605E5C"/>
      <w:shd w:val="clear" w:color="auto" w:fill="E1DFDD"/>
    </w:rPr>
  </w:style>
  <w:style w:type="paragraph" w:customStyle="1" w:styleId="mcntmsonormal">
    <w:name w:val="mcntmsonormal"/>
    <w:basedOn w:val="a"/>
    <w:rsid w:val="00572524"/>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3869">
      <w:bodyDiv w:val="1"/>
      <w:marLeft w:val="0"/>
      <w:marRight w:val="0"/>
      <w:marTop w:val="0"/>
      <w:marBottom w:val="0"/>
      <w:divBdr>
        <w:top w:val="none" w:sz="0" w:space="0" w:color="auto"/>
        <w:left w:val="none" w:sz="0" w:space="0" w:color="auto"/>
        <w:bottom w:val="none" w:sz="0" w:space="0" w:color="auto"/>
        <w:right w:val="none" w:sz="0" w:space="0" w:color="auto"/>
      </w:divBdr>
    </w:div>
    <w:div w:id="431513902">
      <w:bodyDiv w:val="1"/>
      <w:marLeft w:val="0"/>
      <w:marRight w:val="0"/>
      <w:marTop w:val="0"/>
      <w:marBottom w:val="0"/>
      <w:divBdr>
        <w:top w:val="none" w:sz="0" w:space="0" w:color="auto"/>
        <w:left w:val="none" w:sz="0" w:space="0" w:color="auto"/>
        <w:bottom w:val="none" w:sz="0" w:space="0" w:color="auto"/>
        <w:right w:val="none" w:sz="0" w:space="0" w:color="auto"/>
      </w:divBdr>
    </w:div>
    <w:div w:id="527597431">
      <w:bodyDiv w:val="1"/>
      <w:marLeft w:val="0"/>
      <w:marRight w:val="0"/>
      <w:marTop w:val="0"/>
      <w:marBottom w:val="0"/>
      <w:divBdr>
        <w:top w:val="none" w:sz="0" w:space="0" w:color="auto"/>
        <w:left w:val="none" w:sz="0" w:space="0" w:color="auto"/>
        <w:bottom w:val="none" w:sz="0" w:space="0" w:color="auto"/>
        <w:right w:val="none" w:sz="0" w:space="0" w:color="auto"/>
      </w:divBdr>
    </w:div>
    <w:div w:id="783812910">
      <w:bodyDiv w:val="1"/>
      <w:marLeft w:val="0"/>
      <w:marRight w:val="0"/>
      <w:marTop w:val="0"/>
      <w:marBottom w:val="0"/>
      <w:divBdr>
        <w:top w:val="none" w:sz="0" w:space="0" w:color="auto"/>
        <w:left w:val="none" w:sz="0" w:space="0" w:color="auto"/>
        <w:bottom w:val="none" w:sz="0" w:space="0" w:color="auto"/>
        <w:right w:val="none" w:sz="0" w:space="0" w:color="auto"/>
      </w:divBdr>
    </w:div>
    <w:div w:id="16953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XjI+pAZhvN7A16BvVFlSkLPAqk4u/vYcJ3W+QtMh31Y=</DigestValue>
    </Reference>
    <Reference Type="http://www.w3.org/2000/09/xmldsig#Object" URI="#idOfficeObject">
      <DigestMethod Algorithm="urn:ietf:params:xml:ns:cpxmlsec:algorithms:gostr34112012-256"/>
      <DigestValue>vPoIpwPNbRevtK2XHb6ZRcOpS41ZcDk8xKEuAFC63As=</DigestValue>
    </Reference>
    <Reference Type="http://uri.etsi.org/01903#SignedProperties" URI="#idSignedProperties">
      <Transforms>
        <Transform Algorithm="http://www.w3.org/TR/2001/REC-xml-c14n-20010315"/>
      </Transforms>
      <DigestMethod Algorithm="urn:ietf:params:xml:ns:cpxmlsec:algorithms:gostr34112012-256"/>
      <DigestValue>Dqs2rUHokakwk5Y/esO9iwu6+Kgkuu09dm3rrDNXcKs=</DigestValue>
    </Reference>
  </SignedInfo>
  <SignatureValue>/ytjh+xpRSCWKp9VuE1Ge0rb2CapWw76C8sZ9hDuVehiK+GKWQ6GSwa5bnZnAcbM
E6D401VmKrvCNEnJqOf7yQ==</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mRYT2aTVruf5SBsvrBWw0z1vSu0=</DigestValue>
      </Reference>
      <Reference URI="/word/fontTable.xml?ContentType=application/vnd.openxmlformats-officedocument.wordprocessingml.fontTable+xml">
        <DigestMethod Algorithm="http://www.w3.org/2000/09/xmldsig#sha1"/>
        <DigestValue>2UGcD9wPwPki5L5UI8NXjyIqib0=</DigestValue>
      </Reference>
      <Reference URI="/word/numbering.xml?ContentType=application/vnd.openxmlformats-officedocument.wordprocessingml.numbering+xml">
        <DigestMethod Algorithm="http://www.w3.org/2000/09/xmldsig#sha1"/>
        <DigestValue>UOx2JMwi4syEGWQ93MZ0v5DTSuU=</DigestValue>
      </Reference>
      <Reference URI="/word/settings.xml?ContentType=application/vnd.openxmlformats-officedocument.wordprocessingml.settings+xml">
        <DigestMethod Algorithm="http://www.w3.org/2000/09/xmldsig#sha1"/>
        <DigestValue>napEVf7Pr54BbG0mAQHIPogp/Vs=</DigestValue>
      </Reference>
      <Reference URI="/word/styles.xml?ContentType=application/vnd.openxmlformats-officedocument.wordprocessingml.styles+xml">
        <DigestMethod Algorithm="http://www.w3.org/2000/09/xmldsig#sha1"/>
        <DigestValue>09t6GcB22axafxQJwHnKkpRosYo=</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1rrob9KYbE9iNKmaZJDTFneRh2k=</DigestValue>
      </Reference>
    </Manifest>
    <SignatureProperties>
      <SignatureProperty Id="idSignatureTime" Target="#idPackageSignature">
        <mdssi:SignatureTime xmlns:mdssi="http://schemas.openxmlformats.org/package/2006/digital-signature">
          <mdssi:Format>YYYY-MM-DDThh:mm:ssTZD</mdssi:Format>
          <mdssi:Value>2021-04-26T09:50:26Z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16.0.13901/22</OfficeVersion>
          <ApplicationVersion>16.0.13901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2021-04-26T09:50:26Z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2</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CharactersWithSpaces>
  <SharedDoc>false</SharedDoc>
  <HLinks>
    <vt:vector size="12" baseType="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cp:lastModifiedBy>Moscow Rad</cp:lastModifiedBy>
  <cp:revision>4</cp:revision>
  <cp:lastPrinted>2018-10-19T07:10:00Z</cp:lastPrinted>
  <dcterms:created xsi:type="dcterms:W3CDTF">2021-04-26T09:39:00Z</dcterms:created>
  <dcterms:modified xsi:type="dcterms:W3CDTF">2021-04-26T09:49:00Z</dcterms:modified>
</cp:coreProperties>
</file>