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20" w:type="dxa"/>
        <w:tblBorders>
          <w:left w:val="single" w:sz="36" w:space="0" w:color="303E5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</w:tblGrid>
      <w:tr w:rsidR="003C7183" w:rsidRPr="003C7183" w:rsidTr="003C71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7183" w:rsidRPr="003C7183" w:rsidRDefault="003C7183" w:rsidP="003C7183">
            <w:pPr>
              <w:spacing w:after="0" w:line="288" w:lineRule="atLeast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</w:pPr>
            <w:r w:rsidRPr="003C7183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  <w:t>78030035637</w:t>
            </w:r>
          </w:p>
        </w:tc>
      </w:tr>
    </w:tbl>
    <w:p w:rsidR="003C7183" w:rsidRPr="003C7183" w:rsidRDefault="003C7183" w:rsidP="003C71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Открытое акционерное общество «Фонд имущества Санкт-Петербурга» (далее - Организатор торгов), действующее на </w:t>
      </w:r>
      <w:bookmarkStart w:id="0" w:name="_GoBack"/>
      <w:bookmarkEnd w:id="0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основании договора поручения с конкурсным управляющим 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Общества с ограниченной ответственностью «Глобус-лизинг»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Шепскисом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Феликсом 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Харольдовичем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(ИНН 780500719516, СНИЛС 018-803-951-61, Санкт-Петербург, наб. Черной речки, д. 41), являющимся членом НП «МСО ПАУ» (119071, Москва, пр. Ленинский, д. 29, стр. 8, ИНН 7705494552, ОГРН 1037705027249) сообщает, что 04.07.2012 г. в 14.00 на электронной торговой площадке http://lot-online.ru состоялось подведение итогов торгов в электронной форме по продаже имущества Общества с ограниченной ответственностью «Глобус-лизинг» (191124, Санкт-Петербург, ул. Красного Текстильщика, д. 2, ОГРН 1027809190221, ИНН 7825422528, признанного несостоятельным (банкротом) решением Арбитражного суда города Санкт-Петербурга и Ленинградской области от 20.01.2010 г. по делу 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А56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-88172/2009), первичные торги по 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лотам 1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3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6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8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9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11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12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и повторные торги по лотам 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13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17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19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22 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признаны несостоявшимися в связи с отсутствием заявок, первичные торги по 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лотам 2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7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10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и повторные торги по 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лоту 18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признаны несостоявшимися в связи с подачей одной заявки. В отношении имущества, включенного в состав лотов 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2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7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10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18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будут заключены договоры купли-продажи в порядке, установленном п. 17 ст. 110 ФЗ «О несостоятельности (банкротстве)».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Заинтересованность участников по отношению к должнику, кредиторам, конкурсному управляющему отсутствует. Конкурсный управляющий, саморегулируемая организация арбитражных управляющих, членом или руководителем которой является конкурсный управляющий, в капитале участников торгов не участвуют.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Также Организатор торгов сообщает о проведении повторных открытых торгов в форме аукциона по продаже имущества вышеуказанного должника - Общества с ограниченной ответственностью «Глобус-лизинг».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Форма подачи предложения о цене - закрытая.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Торги проводятся в электронной форме на электронной торговой площадке ОАО «Российский аукционный дом» (далее - Оператор электронной торговой площадки) (адрес в сети Интернет: www.lot-online.ru).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Подведение результатов электронных торгов состоится: 22.08.2012 г. в 14:00 на электронной торговой площадке ОАО «Российский аукционный дом» по адресу в сети Интернет www.lot-online.ru.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Предметом торгов является следующее имущество (далее - имущество):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Дебиторская задолженность ООО «МПГ Олефин» по договорам финансовой аренды ЛД №03-2007-ЛО-МСК от 26.04.07, ЛД №06-2006-ЛО-МСК от 05.07.06, ЛД №08-2006-ЛО-МСК от 25.08.06, обременения отсутствуют. Начальная цена - 19 458,42 руб., НДС не облагается. Сумма задатка - 1 945,84 руб., место ознакомления: г. Санкт-Петербург, наб. Черной речки, 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д.41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тел. (812) 702-50-37.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2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Дебиторская задолженность ООО «ПФ АСС СЕВЕРО-ЗАПАД» ЛД №73-2008-ГА-ПП от 26.05.08. Обременения отсутствуют. Начальная цена - 59 082,03 руб., НДС не облагается. Сумма задатка - 5 908,20 руб. Место ознакомления: г. Санкт-Петербург, наб. Черной речки, д. 41, тел.: (812)702-50-37.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3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Дебиторская задолженность ООО «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Местпром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 по договорам финансовой аренды ЛД №001-07-ЛО-РНД-ГЛ от 28.06.07, ЛД №018-07-ЛО-РНД-ГЛ от 20.09.07, ЛД №042-08-ЛА-РНД-ГЛ от 14.04.08. Обременения отсутствуют. Начальная цена - 147 683,21 руб., НДС не облагается. Сумма задатка - 14 768,32 руб. Место ознакомления: г. Санкт-Петербург, наб. Черной речки, д. 41, тел. (812)702-50-37.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4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Дебиторская задолженность ООО «Царев» по договорам финансовой аренды №36-2008-ЛО от 29.05.08, ЛД №26-2008-ЛО от 23.04.08. Обременения отсутствуют. Начальная цена - 139 980,95 руб., НДС не облагается. Сумма задатка - 13 998,10 руб. Место ознакомления: г. Санкт-Петербург, наб. Черной речки, д. 41, тел. (812)702-50-37.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5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Дебиторская задолженность ООО «Строительная фирма «Партнер-К» по договорам финансовой аренды № 24-07-ЛА-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НсОФ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-ГЛ от 24.08.07, № 29-07-ЛА-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НсОФ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-ГЛ от 21.09.07, № 21-07-ЛА-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НсОФ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-ГЛ от 19.07.07. Обременения отсутствуют. Начальная цена - 783 900,27 руб., НДС не облагается. Сумма задатка - 78 390,03 руб. Место ознакомления: г. Санкт-Петербург, наб. Черной речки, д. 41, тел. (812)702-50-37.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6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Дебиторская задолженность ООО «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Донагроуниверсал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 по договору финансовой аренды №057-08-ЛО-РНД-ГЛ от 16.07.08. Обременения отсутствуют. Начальная цена - 128 097,92 руб., НДС не облагается. Сумма задатка - 12 809,79 руб. Место ознакомления: г. Санкт-Петербург, наб. Черной речки, д. 41, тел. (812)702-50-37.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lastRenderedPageBreak/>
        <w:t>Лот 7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Дебиторская задолженность ООО «МПГ Олефин» по договорам финансовой аренды ЛД №05-2007-ЛО-МСК от 11.07.07, ЛД №02-2007-ЛО-МСК от 20.03.07. Обременения отсутствуют. Начальная цена - 40 828,16 руб., НДС не облагается. Сумма задатка - 4 082,82 руб. Место ознакомления: г. Санкт-Петербург, наб. Черной речки, д. 41, тел. (812)702-50-37.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8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Полуприцеп МАЗ-938660-044 (VIN Y3M93866080009338), 2008 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Обременения отсутствуют. Начальная цена - 168 408,00 руб., в том числе НДС. Сумма задатка - 16 840,80 руб. Место ознакомления: Республика Саха - Якутия, г. 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Олекминск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трасса 1809 км, тел. (921)989-99-52.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Также на аналогичных условиях (в части формы проведения торгов, подачи заявок и предложений по цене, сроков, даты и времени подведения итогов торгов) проводятся первичные торги в отношении следующего имущества: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9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(1) Комплекс для тестирования готовой продукции; (2) Универсальный пресс для изготовления корпуса; (3) Инструмент для 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бессварочного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соединения труб; (4) 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Вакуумформовочная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машина; (5) Универсальная форма для изготовления наружной эстетики; (6) Конвейер сборочный. Обременения отсутствуют. Начальная цена - 1893000,00 руб., в том числе НДС. Сумма задатка - 189 300,00 руб. Место ознакомления: г. Великие Луки, ул. Витебская, д. 5, тел. (921)989-99-52.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10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(1, 2) Автомобили спецназначения САМС АН5253GJB, 2007 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(VIN LZ5N2CD377B009493, VIN LZ5N2CD387B009499); (3) Автобетононасос CIFA 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K36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/XZ 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Mercedes-Benz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Actros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26.41, 2007 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(VIN WDB9301431L180134). Обременения отсутствуют. Начальная цена - 4 845 300,00 руб., в том числе НДС. Сумма задатка - 484 530,00 руб. Место ознакомления: Республика Саха - Якутия, г. 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Олекминск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трасса 1809 км, тел. (921)989-99-52.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11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(1) Дебиторская задолженность ЗАО «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РосПолиТехЛес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 по договору финансовой аренды № 201205-л от 20.12.2005; (2) дебиторская задолженность ЗАО «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РосПолиТехЛес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 по договору финансовой аренды № 170504-л от 17.05.2004. Обременения отсутствуют. Начальная цена - 1 396 893,11 руб., НДС не облагается. Сумма задатка - 139 689,31 руб. Место ознакомления: г. Санкт-Петербург, наб. Черной речки, д. 41, тел. (812)702-50-37.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12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Дебиторская задолженность ООО «Патриот» по договорам финансовой аренды №12-2008-ЛТ-НН от 11.08.08, №05-08-ЛО-НН-ГЛ от 09.07.08. Обременения отсутствуют. Начальная цена - 51 174,14 руб., НДС не облагается. Сумма задатка - 5 117,41 руб. Место ознакомления: г. Санкт-Петербург, наб. Черной речки, д. 41, тел. (812)702-50-37.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Ознакомление с имуществом производится в течение 25 рабочих дней с момента публикации настоящего сообщения в газете «Коммерсантъ» по адресам, указанным выше.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Ознакомление с Положением о порядке и условиях проведения торгов по продаже в ходе конкурсного производства имущества ООО «Глобус-лизинг» и текстом договора о задатке (договора присоединения), а также проектом договора купли-продажи осуществляется на сайте электронной торговой площадки по адресу в сети интернет www.lot-online.ru.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Для участия в торгах претендент обязан внести задаток, который должен поступить на счет Организатора торгов не позднее 20.08.2012 г.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Реквизиты счета для внесения задатка и оплаты по договору купли-продажи: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Получатель - ОАО «Фонд имущества Санкт-Петербурга» (ИНН 7838332649, КПП 783801001), счет №40702810635000042666 в ОАО «Банк «Санкт-Петербург», к/с 30101810900000000790, БИК 044030790.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Фактом внесения денежных средств в качестве задатка на участие в электронных торгах претендент на участие в торгах подтверждает согласие со всеми условиями проведения торгов, опубликованными в настоящем сообщении о проведении торгов по продаже имущества должника, и условиями договора о задатке (договора присоединения), опубликованными на сайте Организатора торгов.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 участию в торгах допускаются любые юридические и физические лица, представившие в установленный срок заявку на участие в торгах.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Заявка на участие в торгах оформляется в форме электронного документа, подписывается электронной цифровой подписью участника торгов и должна содержать сведения и приложения согласно требованиям </w:t>
      </w: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пункта 4.3 Приложения № 1 к Приказу Министерства экономического развития РФ № 54 от 15.02.2010 (в редакции, действующей на дату публикации настоящего сообщения о продаже имущества должника).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Предложения о цене имущества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торгов времени подведения результатов торгов.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Заявки на участие в торгах и предложения о цене имущества подаются участниками торгов через личный кабинет на электронной торговой площадке и принимаются Оператором электронной торговой площадки.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Начало приема заявок на участие в торгах и предложений о цене имущества - 16.07.2012 г. Окончание приема заявок на участие в торгах - 21.08.2012 в 15:30. Определение участников торгов осуществляется 21.08.2012 и оформляется протоколом об определении участников торгов.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Победителем торгов признается участник торгов, первым предложивший наиболее высокую цену. Победитель торгов определяется по каждому лоту. Организатор торгов публично в день и во время подведения результатов торгов оглашает представленные участниками торгов предложения о цене имущества путем размещения представленных участниками торгов предложений о цене имущества на электронной торговой площадке в открытом доступе.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Организатор торгов рассматривает предложения участников торгов о цене имущества и определяет победителя торгов. В случае если две и более заявки участников торгов на участие в торгах содержат предложения об одинаковой цене имущества, победителем торгов признается участник торгов, ранее других указанных участников представивший предложение по цене имущества.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течение пяти дней с даты подписания протокола о результатах проведения торгов Организатор торгов от имени конкурсного управляющего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имущества, который подлежит заключению в течение пяти дней с даты получения. Оплата в соответствии с договором купли-продажи имущества должна быть осуществлена покупателем в течение тридцати дней со дня подписания договора купли-продажи имущества. Передача имущества покупателю и переход права собственности на имущество осуществляются после полной оплаты имущества.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Покупатель - юридическое лицо или физическое лицо - индивидуальный предприниматель, обязан на основании п. 4.1 ст. 161 НК РФ уплатить сумму НДС в бюджет в порядке и в сроки, установленные действующим налоговым законодательством.</w:t>
      </w:r>
    </w:p>
    <w:p w:rsidR="003C7183" w:rsidRPr="003C7183" w:rsidRDefault="003C7183" w:rsidP="003C7183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Организатор торгов - Открытое акционерное общество «Фонд имущества Санкт-Петербурга» (ИНН 7838332649, КПП 783801001, адрес: 190000, Санкт-Петербург, пер. Гривцова, д. 5, тел.: +7(812)777-2727, e-</w:t>
      </w:r>
      <w:proofErr w:type="spellStart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mail</w:t>
      </w:r>
      <w:proofErr w:type="spellEnd"/>
      <w:r w:rsidRPr="003C718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agafonov@property-fund.ru).</w:t>
      </w:r>
    </w:p>
    <w:p w:rsidR="003C7183" w:rsidRPr="003C7183" w:rsidRDefault="003C7183" w:rsidP="003C718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6230"/>
      </w:tblGrid>
      <w:tr w:rsidR="003C7183" w:rsidRPr="003C7183" w:rsidTr="003C7183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3C7183" w:rsidRPr="003C7183" w:rsidRDefault="003C7183" w:rsidP="003C7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83">
              <w:rPr>
                <w:rFonts w:ascii="Tahoma" w:eastAsia="Times New Roman" w:hAnsi="Tahoma" w:cs="Tahoma"/>
                <w:noProof/>
                <w:color w:val="303E50"/>
                <w:sz w:val="24"/>
                <w:szCs w:val="24"/>
                <w:lang w:eastAsia="ru-RU"/>
              </w:rPr>
              <w:drawing>
                <wp:inline distT="0" distB="0" distL="0" distR="0" wp14:anchorId="5C3D6761" wp14:editId="3AB3D8DE">
                  <wp:extent cx="236220" cy="236220"/>
                  <wp:effectExtent l="0" t="0" r="0" b="0"/>
                  <wp:docPr id="2" name="Рисунок 2" descr="Открыть страницу в формате PD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ткрыть страницу в формате PD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3C7183" w:rsidRPr="003C7183" w:rsidRDefault="003C7183" w:rsidP="003C7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3C7183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Это объявление опубликовано в газете "Коммерсантъ" №128 от 14.07.2012, на стр. 55</w:t>
            </w:r>
          </w:p>
        </w:tc>
      </w:tr>
    </w:tbl>
    <w:p w:rsidR="00A6520D" w:rsidRDefault="00A6520D"/>
    <w:sectPr w:rsidR="00A6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18"/>
    <w:rsid w:val="000072A9"/>
    <w:rsid w:val="0001237D"/>
    <w:rsid w:val="00014A62"/>
    <w:rsid w:val="00014D60"/>
    <w:rsid w:val="00022454"/>
    <w:rsid w:val="00025E02"/>
    <w:rsid w:val="00027DCE"/>
    <w:rsid w:val="000321AA"/>
    <w:rsid w:val="000347FE"/>
    <w:rsid w:val="0003611C"/>
    <w:rsid w:val="000406E7"/>
    <w:rsid w:val="00046401"/>
    <w:rsid w:val="0004791F"/>
    <w:rsid w:val="00050F0F"/>
    <w:rsid w:val="000513A2"/>
    <w:rsid w:val="00056490"/>
    <w:rsid w:val="00062524"/>
    <w:rsid w:val="00063C6D"/>
    <w:rsid w:val="0006518D"/>
    <w:rsid w:val="00066033"/>
    <w:rsid w:val="00067EC0"/>
    <w:rsid w:val="00071455"/>
    <w:rsid w:val="00074A24"/>
    <w:rsid w:val="00077395"/>
    <w:rsid w:val="00077E7D"/>
    <w:rsid w:val="00082428"/>
    <w:rsid w:val="00083CEB"/>
    <w:rsid w:val="00084964"/>
    <w:rsid w:val="00086A96"/>
    <w:rsid w:val="00097A21"/>
    <w:rsid w:val="000A0ED6"/>
    <w:rsid w:val="000B0562"/>
    <w:rsid w:val="000B610E"/>
    <w:rsid w:val="000B708B"/>
    <w:rsid w:val="000C0DE4"/>
    <w:rsid w:val="000C299B"/>
    <w:rsid w:val="000C5EAC"/>
    <w:rsid w:val="000D28E2"/>
    <w:rsid w:val="000D520C"/>
    <w:rsid w:val="000D7789"/>
    <w:rsid w:val="000E0694"/>
    <w:rsid w:val="000E1D1E"/>
    <w:rsid w:val="000E7BB1"/>
    <w:rsid w:val="000E7C04"/>
    <w:rsid w:val="000F29D5"/>
    <w:rsid w:val="000F2B10"/>
    <w:rsid w:val="000F4902"/>
    <w:rsid w:val="000F6B94"/>
    <w:rsid w:val="000F6EB8"/>
    <w:rsid w:val="000F6F61"/>
    <w:rsid w:val="000F7AAC"/>
    <w:rsid w:val="00102873"/>
    <w:rsid w:val="0011122D"/>
    <w:rsid w:val="0011221F"/>
    <w:rsid w:val="0012574F"/>
    <w:rsid w:val="00125B92"/>
    <w:rsid w:val="00130FD4"/>
    <w:rsid w:val="0013128D"/>
    <w:rsid w:val="0013276E"/>
    <w:rsid w:val="001328A7"/>
    <w:rsid w:val="00136A89"/>
    <w:rsid w:val="00142BC3"/>
    <w:rsid w:val="001554EA"/>
    <w:rsid w:val="001562DE"/>
    <w:rsid w:val="0016142C"/>
    <w:rsid w:val="0016454A"/>
    <w:rsid w:val="00165111"/>
    <w:rsid w:val="00165AB6"/>
    <w:rsid w:val="001700EE"/>
    <w:rsid w:val="0017055D"/>
    <w:rsid w:val="001719C5"/>
    <w:rsid w:val="001755A4"/>
    <w:rsid w:val="00176DB7"/>
    <w:rsid w:val="00177873"/>
    <w:rsid w:val="0018059F"/>
    <w:rsid w:val="001812B9"/>
    <w:rsid w:val="001819BA"/>
    <w:rsid w:val="00183E13"/>
    <w:rsid w:val="00185647"/>
    <w:rsid w:val="00186574"/>
    <w:rsid w:val="001867CB"/>
    <w:rsid w:val="00186B77"/>
    <w:rsid w:val="00186D1E"/>
    <w:rsid w:val="00187A48"/>
    <w:rsid w:val="00192925"/>
    <w:rsid w:val="0019317A"/>
    <w:rsid w:val="00193FED"/>
    <w:rsid w:val="0019409E"/>
    <w:rsid w:val="00194515"/>
    <w:rsid w:val="001A19E1"/>
    <w:rsid w:val="001A1A9E"/>
    <w:rsid w:val="001A2707"/>
    <w:rsid w:val="001A40CF"/>
    <w:rsid w:val="001A4723"/>
    <w:rsid w:val="001A4737"/>
    <w:rsid w:val="001A4B72"/>
    <w:rsid w:val="001B0FD7"/>
    <w:rsid w:val="001B1D7C"/>
    <w:rsid w:val="001B3371"/>
    <w:rsid w:val="001B3707"/>
    <w:rsid w:val="001B63FB"/>
    <w:rsid w:val="001B7B5F"/>
    <w:rsid w:val="001C5269"/>
    <w:rsid w:val="001C7106"/>
    <w:rsid w:val="001C7F61"/>
    <w:rsid w:val="001D0894"/>
    <w:rsid w:val="001D2142"/>
    <w:rsid w:val="001D33BE"/>
    <w:rsid w:val="001E0983"/>
    <w:rsid w:val="001E6100"/>
    <w:rsid w:val="0020282D"/>
    <w:rsid w:val="002037AD"/>
    <w:rsid w:val="002104F9"/>
    <w:rsid w:val="002151DB"/>
    <w:rsid w:val="00215DCE"/>
    <w:rsid w:val="00216EEF"/>
    <w:rsid w:val="00217500"/>
    <w:rsid w:val="00220174"/>
    <w:rsid w:val="002210DA"/>
    <w:rsid w:val="00222DCF"/>
    <w:rsid w:val="0022361C"/>
    <w:rsid w:val="00233EA5"/>
    <w:rsid w:val="002357AB"/>
    <w:rsid w:val="0023663E"/>
    <w:rsid w:val="00240111"/>
    <w:rsid w:val="002430A6"/>
    <w:rsid w:val="00246296"/>
    <w:rsid w:val="0024702D"/>
    <w:rsid w:val="00254723"/>
    <w:rsid w:val="00254CAE"/>
    <w:rsid w:val="00255A56"/>
    <w:rsid w:val="00263194"/>
    <w:rsid w:val="002650A3"/>
    <w:rsid w:val="00267D38"/>
    <w:rsid w:val="0027319C"/>
    <w:rsid w:val="00276493"/>
    <w:rsid w:val="00283FCB"/>
    <w:rsid w:val="00285F35"/>
    <w:rsid w:val="00286B79"/>
    <w:rsid w:val="0029585F"/>
    <w:rsid w:val="0029636C"/>
    <w:rsid w:val="00296639"/>
    <w:rsid w:val="00297A95"/>
    <w:rsid w:val="00297FC3"/>
    <w:rsid w:val="002A1014"/>
    <w:rsid w:val="002A188B"/>
    <w:rsid w:val="002A2DAB"/>
    <w:rsid w:val="002A591B"/>
    <w:rsid w:val="002A605D"/>
    <w:rsid w:val="002A6605"/>
    <w:rsid w:val="002A7668"/>
    <w:rsid w:val="002B0C50"/>
    <w:rsid w:val="002B28BE"/>
    <w:rsid w:val="002B51F1"/>
    <w:rsid w:val="002B5D40"/>
    <w:rsid w:val="002B7FFA"/>
    <w:rsid w:val="002C3042"/>
    <w:rsid w:val="002C6AC8"/>
    <w:rsid w:val="002D305A"/>
    <w:rsid w:val="002D3FC0"/>
    <w:rsid w:val="002D6CAF"/>
    <w:rsid w:val="002D716D"/>
    <w:rsid w:val="002D7575"/>
    <w:rsid w:val="002E02D9"/>
    <w:rsid w:val="002E41CF"/>
    <w:rsid w:val="002E457D"/>
    <w:rsid w:val="002F0182"/>
    <w:rsid w:val="002F04FE"/>
    <w:rsid w:val="002F4158"/>
    <w:rsid w:val="002F57B0"/>
    <w:rsid w:val="002F7DE1"/>
    <w:rsid w:val="003109FD"/>
    <w:rsid w:val="00315A1B"/>
    <w:rsid w:val="003169AD"/>
    <w:rsid w:val="00316EFF"/>
    <w:rsid w:val="0032122A"/>
    <w:rsid w:val="00324D44"/>
    <w:rsid w:val="003318E4"/>
    <w:rsid w:val="00332929"/>
    <w:rsid w:val="00335CAF"/>
    <w:rsid w:val="003365D1"/>
    <w:rsid w:val="00341483"/>
    <w:rsid w:val="003417DB"/>
    <w:rsid w:val="003422E8"/>
    <w:rsid w:val="003537BB"/>
    <w:rsid w:val="003547A1"/>
    <w:rsid w:val="00357EF3"/>
    <w:rsid w:val="00361030"/>
    <w:rsid w:val="003625C6"/>
    <w:rsid w:val="00373578"/>
    <w:rsid w:val="00376C74"/>
    <w:rsid w:val="003774BF"/>
    <w:rsid w:val="00377CC4"/>
    <w:rsid w:val="0038166D"/>
    <w:rsid w:val="00382D18"/>
    <w:rsid w:val="00385BDB"/>
    <w:rsid w:val="00391B49"/>
    <w:rsid w:val="00393B5B"/>
    <w:rsid w:val="003962F7"/>
    <w:rsid w:val="003A0EB0"/>
    <w:rsid w:val="003A7BD5"/>
    <w:rsid w:val="003B05FE"/>
    <w:rsid w:val="003B3749"/>
    <w:rsid w:val="003B4F25"/>
    <w:rsid w:val="003C7183"/>
    <w:rsid w:val="003D059F"/>
    <w:rsid w:val="003D0E31"/>
    <w:rsid w:val="003D45C1"/>
    <w:rsid w:val="003E5625"/>
    <w:rsid w:val="003F1106"/>
    <w:rsid w:val="003F1E2E"/>
    <w:rsid w:val="003F1FAC"/>
    <w:rsid w:val="003F60A8"/>
    <w:rsid w:val="003F66F8"/>
    <w:rsid w:val="003F7CFC"/>
    <w:rsid w:val="00400322"/>
    <w:rsid w:val="00400F61"/>
    <w:rsid w:val="00406304"/>
    <w:rsid w:val="00413137"/>
    <w:rsid w:val="00417790"/>
    <w:rsid w:val="00422C53"/>
    <w:rsid w:val="004243A2"/>
    <w:rsid w:val="00424EFC"/>
    <w:rsid w:val="00432BE6"/>
    <w:rsid w:val="00433FA7"/>
    <w:rsid w:val="00436798"/>
    <w:rsid w:val="004370FF"/>
    <w:rsid w:val="004371C9"/>
    <w:rsid w:val="00440BFA"/>
    <w:rsid w:val="0044167C"/>
    <w:rsid w:val="004439A8"/>
    <w:rsid w:val="004439E0"/>
    <w:rsid w:val="00443FF5"/>
    <w:rsid w:val="00452974"/>
    <w:rsid w:val="0045531C"/>
    <w:rsid w:val="004553F6"/>
    <w:rsid w:val="00460E5F"/>
    <w:rsid w:val="00462CEE"/>
    <w:rsid w:val="00473D64"/>
    <w:rsid w:val="00483037"/>
    <w:rsid w:val="004843DE"/>
    <w:rsid w:val="004935C7"/>
    <w:rsid w:val="00494694"/>
    <w:rsid w:val="004A747F"/>
    <w:rsid w:val="004B1ABE"/>
    <w:rsid w:val="004B1AFC"/>
    <w:rsid w:val="004B1C80"/>
    <w:rsid w:val="004B30A4"/>
    <w:rsid w:val="004B567E"/>
    <w:rsid w:val="004C2295"/>
    <w:rsid w:val="004C3AD5"/>
    <w:rsid w:val="004C43C3"/>
    <w:rsid w:val="004C54E7"/>
    <w:rsid w:val="004C68D4"/>
    <w:rsid w:val="004C6CBD"/>
    <w:rsid w:val="004D2BE4"/>
    <w:rsid w:val="004D4313"/>
    <w:rsid w:val="004D7BDF"/>
    <w:rsid w:val="004D7C33"/>
    <w:rsid w:val="004E05CE"/>
    <w:rsid w:val="004E611E"/>
    <w:rsid w:val="004E64AB"/>
    <w:rsid w:val="004F2FE4"/>
    <w:rsid w:val="004F6264"/>
    <w:rsid w:val="004F6946"/>
    <w:rsid w:val="0050061C"/>
    <w:rsid w:val="00503680"/>
    <w:rsid w:val="00506182"/>
    <w:rsid w:val="005061D9"/>
    <w:rsid w:val="005066F8"/>
    <w:rsid w:val="00507E09"/>
    <w:rsid w:val="00512327"/>
    <w:rsid w:val="00512928"/>
    <w:rsid w:val="00512FF1"/>
    <w:rsid w:val="005177E0"/>
    <w:rsid w:val="00520E68"/>
    <w:rsid w:val="005218B5"/>
    <w:rsid w:val="005231AC"/>
    <w:rsid w:val="0052708C"/>
    <w:rsid w:val="005312F9"/>
    <w:rsid w:val="00531D55"/>
    <w:rsid w:val="005407F0"/>
    <w:rsid w:val="00541C10"/>
    <w:rsid w:val="00543F67"/>
    <w:rsid w:val="00544BFB"/>
    <w:rsid w:val="00544E55"/>
    <w:rsid w:val="00545438"/>
    <w:rsid w:val="005456AE"/>
    <w:rsid w:val="0054646F"/>
    <w:rsid w:val="00547E6D"/>
    <w:rsid w:val="005505E0"/>
    <w:rsid w:val="005507BB"/>
    <w:rsid w:val="00556F6B"/>
    <w:rsid w:val="00561CD2"/>
    <w:rsid w:val="00562886"/>
    <w:rsid w:val="005645F9"/>
    <w:rsid w:val="00564A17"/>
    <w:rsid w:val="00567723"/>
    <w:rsid w:val="00572BB7"/>
    <w:rsid w:val="00573B13"/>
    <w:rsid w:val="00575DFE"/>
    <w:rsid w:val="00576853"/>
    <w:rsid w:val="00580D4B"/>
    <w:rsid w:val="00581E16"/>
    <w:rsid w:val="005824F6"/>
    <w:rsid w:val="0058440D"/>
    <w:rsid w:val="00586222"/>
    <w:rsid w:val="00590316"/>
    <w:rsid w:val="00591D59"/>
    <w:rsid w:val="00595B1E"/>
    <w:rsid w:val="005A04F4"/>
    <w:rsid w:val="005A3D5C"/>
    <w:rsid w:val="005A408F"/>
    <w:rsid w:val="005B15BC"/>
    <w:rsid w:val="005B1BB0"/>
    <w:rsid w:val="005B388C"/>
    <w:rsid w:val="005B5BDA"/>
    <w:rsid w:val="005C0206"/>
    <w:rsid w:val="005C34F9"/>
    <w:rsid w:val="005C3F8C"/>
    <w:rsid w:val="005D04FD"/>
    <w:rsid w:val="005D148D"/>
    <w:rsid w:val="005D7197"/>
    <w:rsid w:val="005D7BAF"/>
    <w:rsid w:val="005D7FD6"/>
    <w:rsid w:val="005E5C8F"/>
    <w:rsid w:val="005F6537"/>
    <w:rsid w:val="005F6D10"/>
    <w:rsid w:val="005F7A9D"/>
    <w:rsid w:val="006005B9"/>
    <w:rsid w:val="00600E9B"/>
    <w:rsid w:val="00603A55"/>
    <w:rsid w:val="006050F1"/>
    <w:rsid w:val="00610F47"/>
    <w:rsid w:val="006179C8"/>
    <w:rsid w:val="0062046E"/>
    <w:rsid w:val="00622C99"/>
    <w:rsid w:val="006265FB"/>
    <w:rsid w:val="00626B3C"/>
    <w:rsid w:val="00632022"/>
    <w:rsid w:val="00635D84"/>
    <w:rsid w:val="00636B57"/>
    <w:rsid w:val="006370F8"/>
    <w:rsid w:val="0063750A"/>
    <w:rsid w:val="00637B27"/>
    <w:rsid w:val="00637E6E"/>
    <w:rsid w:val="00644E89"/>
    <w:rsid w:val="006478CF"/>
    <w:rsid w:val="006508DB"/>
    <w:rsid w:val="00650D8F"/>
    <w:rsid w:val="00651EBA"/>
    <w:rsid w:val="00651FAA"/>
    <w:rsid w:val="00652454"/>
    <w:rsid w:val="006560B8"/>
    <w:rsid w:val="0066325D"/>
    <w:rsid w:val="006658D0"/>
    <w:rsid w:val="0067437F"/>
    <w:rsid w:val="00674439"/>
    <w:rsid w:val="006830DD"/>
    <w:rsid w:val="0068529F"/>
    <w:rsid w:val="006856E7"/>
    <w:rsid w:val="006856EB"/>
    <w:rsid w:val="00686532"/>
    <w:rsid w:val="00686E32"/>
    <w:rsid w:val="00687345"/>
    <w:rsid w:val="00691025"/>
    <w:rsid w:val="006913F1"/>
    <w:rsid w:val="0069794B"/>
    <w:rsid w:val="00697A9C"/>
    <w:rsid w:val="006A0E36"/>
    <w:rsid w:val="006A484C"/>
    <w:rsid w:val="006B00A1"/>
    <w:rsid w:val="006B1B22"/>
    <w:rsid w:val="006C29CA"/>
    <w:rsid w:val="006C3FFB"/>
    <w:rsid w:val="006D0562"/>
    <w:rsid w:val="006D1DB8"/>
    <w:rsid w:val="006E234B"/>
    <w:rsid w:val="006E7F4F"/>
    <w:rsid w:val="006F43CE"/>
    <w:rsid w:val="006F5EB4"/>
    <w:rsid w:val="006F615D"/>
    <w:rsid w:val="006F7B9F"/>
    <w:rsid w:val="00705AC8"/>
    <w:rsid w:val="007108E1"/>
    <w:rsid w:val="00710B65"/>
    <w:rsid w:val="00715FA1"/>
    <w:rsid w:val="00717488"/>
    <w:rsid w:val="007242FD"/>
    <w:rsid w:val="00733464"/>
    <w:rsid w:val="00734277"/>
    <w:rsid w:val="007379ED"/>
    <w:rsid w:val="00737C67"/>
    <w:rsid w:val="00740702"/>
    <w:rsid w:val="0074081D"/>
    <w:rsid w:val="007420B0"/>
    <w:rsid w:val="007429C0"/>
    <w:rsid w:val="00755E95"/>
    <w:rsid w:val="00756630"/>
    <w:rsid w:val="00767016"/>
    <w:rsid w:val="00770BE0"/>
    <w:rsid w:val="007779F6"/>
    <w:rsid w:val="0078619F"/>
    <w:rsid w:val="007874C3"/>
    <w:rsid w:val="007875EC"/>
    <w:rsid w:val="00791A50"/>
    <w:rsid w:val="00794296"/>
    <w:rsid w:val="00795A88"/>
    <w:rsid w:val="00795BC6"/>
    <w:rsid w:val="007A30A0"/>
    <w:rsid w:val="007A3CBE"/>
    <w:rsid w:val="007A41E4"/>
    <w:rsid w:val="007A7D2E"/>
    <w:rsid w:val="007B0C77"/>
    <w:rsid w:val="007B43ED"/>
    <w:rsid w:val="007B6DB9"/>
    <w:rsid w:val="007C078F"/>
    <w:rsid w:val="007C2F07"/>
    <w:rsid w:val="007C4057"/>
    <w:rsid w:val="007C4DD9"/>
    <w:rsid w:val="007D0710"/>
    <w:rsid w:val="007D7045"/>
    <w:rsid w:val="007D7293"/>
    <w:rsid w:val="007E23AA"/>
    <w:rsid w:val="007E458E"/>
    <w:rsid w:val="007F1780"/>
    <w:rsid w:val="007F3D10"/>
    <w:rsid w:val="00804364"/>
    <w:rsid w:val="008048A0"/>
    <w:rsid w:val="00812366"/>
    <w:rsid w:val="008127BD"/>
    <w:rsid w:val="00816153"/>
    <w:rsid w:val="00817563"/>
    <w:rsid w:val="00820501"/>
    <w:rsid w:val="00821B60"/>
    <w:rsid w:val="0082675C"/>
    <w:rsid w:val="00836814"/>
    <w:rsid w:val="00842D81"/>
    <w:rsid w:val="008435F6"/>
    <w:rsid w:val="00846C18"/>
    <w:rsid w:val="0084725F"/>
    <w:rsid w:val="00850B56"/>
    <w:rsid w:val="00850EEA"/>
    <w:rsid w:val="008557B2"/>
    <w:rsid w:val="008636B1"/>
    <w:rsid w:val="00864CA5"/>
    <w:rsid w:val="00867E3E"/>
    <w:rsid w:val="00883B8E"/>
    <w:rsid w:val="00883F7B"/>
    <w:rsid w:val="008853E9"/>
    <w:rsid w:val="00886A58"/>
    <w:rsid w:val="008900CE"/>
    <w:rsid w:val="008952AB"/>
    <w:rsid w:val="0089754F"/>
    <w:rsid w:val="008A2977"/>
    <w:rsid w:val="008A376A"/>
    <w:rsid w:val="008A66CC"/>
    <w:rsid w:val="008B3F09"/>
    <w:rsid w:val="008C0669"/>
    <w:rsid w:val="008C0EFE"/>
    <w:rsid w:val="008D0F36"/>
    <w:rsid w:val="008D4A8C"/>
    <w:rsid w:val="008D75E5"/>
    <w:rsid w:val="008E1702"/>
    <w:rsid w:val="008E31BE"/>
    <w:rsid w:val="008E457C"/>
    <w:rsid w:val="008E7515"/>
    <w:rsid w:val="008F2493"/>
    <w:rsid w:val="008F75F8"/>
    <w:rsid w:val="0090435F"/>
    <w:rsid w:val="00905150"/>
    <w:rsid w:val="00907EEA"/>
    <w:rsid w:val="00911BEE"/>
    <w:rsid w:val="00911D5F"/>
    <w:rsid w:val="00912B70"/>
    <w:rsid w:val="009132F9"/>
    <w:rsid w:val="00914BC1"/>
    <w:rsid w:val="00914EF1"/>
    <w:rsid w:val="00923D69"/>
    <w:rsid w:val="00924867"/>
    <w:rsid w:val="00924F00"/>
    <w:rsid w:val="009266B1"/>
    <w:rsid w:val="00926D15"/>
    <w:rsid w:val="00933335"/>
    <w:rsid w:val="0093450D"/>
    <w:rsid w:val="009360DB"/>
    <w:rsid w:val="00936332"/>
    <w:rsid w:val="009415F0"/>
    <w:rsid w:val="00941CCD"/>
    <w:rsid w:val="00941F17"/>
    <w:rsid w:val="009441EA"/>
    <w:rsid w:val="00955E03"/>
    <w:rsid w:val="0095736A"/>
    <w:rsid w:val="00963D4E"/>
    <w:rsid w:val="00964D58"/>
    <w:rsid w:val="00966BBF"/>
    <w:rsid w:val="009700FE"/>
    <w:rsid w:val="009732A5"/>
    <w:rsid w:val="00974560"/>
    <w:rsid w:val="009755DA"/>
    <w:rsid w:val="00977C1E"/>
    <w:rsid w:val="00980B2D"/>
    <w:rsid w:val="009821EE"/>
    <w:rsid w:val="009830DC"/>
    <w:rsid w:val="00983869"/>
    <w:rsid w:val="009861CC"/>
    <w:rsid w:val="00991233"/>
    <w:rsid w:val="009918E5"/>
    <w:rsid w:val="00996153"/>
    <w:rsid w:val="00997855"/>
    <w:rsid w:val="009A668C"/>
    <w:rsid w:val="009B0F09"/>
    <w:rsid w:val="009B1E1B"/>
    <w:rsid w:val="009B6A09"/>
    <w:rsid w:val="009C5724"/>
    <w:rsid w:val="009C6A5C"/>
    <w:rsid w:val="009D3E72"/>
    <w:rsid w:val="009E022E"/>
    <w:rsid w:val="009E21A3"/>
    <w:rsid w:val="009E4027"/>
    <w:rsid w:val="009E4652"/>
    <w:rsid w:val="009E52E4"/>
    <w:rsid w:val="009E5CD7"/>
    <w:rsid w:val="009E6426"/>
    <w:rsid w:val="009F07A3"/>
    <w:rsid w:val="009F34B3"/>
    <w:rsid w:val="009F7C91"/>
    <w:rsid w:val="00A03172"/>
    <w:rsid w:val="00A03EF5"/>
    <w:rsid w:val="00A05F05"/>
    <w:rsid w:val="00A16CFC"/>
    <w:rsid w:val="00A24C42"/>
    <w:rsid w:val="00A24DEE"/>
    <w:rsid w:val="00A25C54"/>
    <w:rsid w:val="00A270E7"/>
    <w:rsid w:val="00A27FDC"/>
    <w:rsid w:val="00A31624"/>
    <w:rsid w:val="00A368A9"/>
    <w:rsid w:val="00A37A11"/>
    <w:rsid w:val="00A4122E"/>
    <w:rsid w:val="00A4296C"/>
    <w:rsid w:val="00A438AB"/>
    <w:rsid w:val="00A461B6"/>
    <w:rsid w:val="00A525F0"/>
    <w:rsid w:val="00A541AA"/>
    <w:rsid w:val="00A60EBA"/>
    <w:rsid w:val="00A6520D"/>
    <w:rsid w:val="00A70BFD"/>
    <w:rsid w:val="00A70F4B"/>
    <w:rsid w:val="00A74351"/>
    <w:rsid w:val="00A76BED"/>
    <w:rsid w:val="00A80E57"/>
    <w:rsid w:val="00A909D3"/>
    <w:rsid w:val="00A92182"/>
    <w:rsid w:val="00A93B41"/>
    <w:rsid w:val="00A97911"/>
    <w:rsid w:val="00AA0162"/>
    <w:rsid w:val="00AA15F7"/>
    <w:rsid w:val="00AA5500"/>
    <w:rsid w:val="00AA6761"/>
    <w:rsid w:val="00AB0179"/>
    <w:rsid w:val="00AB26FB"/>
    <w:rsid w:val="00AB4961"/>
    <w:rsid w:val="00AB62D3"/>
    <w:rsid w:val="00AC7AFF"/>
    <w:rsid w:val="00AD27C9"/>
    <w:rsid w:val="00AD4879"/>
    <w:rsid w:val="00AE28AA"/>
    <w:rsid w:val="00AF04F4"/>
    <w:rsid w:val="00AF10C3"/>
    <w:rsid w:val="00AF2021"/>
    <w:rsid w:val="00AF2F75"/>
    <w:rsid w:val="00AF5BE9"/>
    <w:rsid w:val="00AF6FB0"/>
    <w:rsid w:val="00AF7A66"/>
    <w:rsid w:val="00B0058D"/>
    <w:rsid w:val="00B00A75"/>
    <w:rsid w:val="00B0261F"/>
    <w:rsid w:val="00B10B56"/>
    <w:rsid w:val="00B13910"/>
    <w:rsid w:val="00B13B20"/>
    <w:rsid w:val="00B147C2"/>
    <w:rsid w:val="00B14D72"/>
    <w:rsid w:val="00B16A3D"/>
    <w:rsid w:val="00B16F21"/>
    <w:rsid w:val="00B206BC"/>
    <w:rsid w:val="00B20AE3"/>
    <w:rsid w:val="00B20FC7"/>
    <w:rsid w:val="00B2110A"/>
    <w:rsid w:val="00B229EC"/>
    <w:rsid w:val="00B302D4"/>
    <w:rsid w:val="00B309A5"/>
    <w:rsid w:val="00B30D93"/>
    <w:rsid w:val="00B346C7"/>
    <w:rsid w:val="00B34A30"/>
    <w:rsid w:val="00B40BDA"/>
    <w:rsid w:val="00B44CDA"/>
    <w:rsid w:val="00B51C0C"/>
    <w:rsid w:val="00B551FA"/>
    <w:rsid w:val="00B574E1"/>
    <w:rsid w:val="00B602F7"/>
    <w:rsid w:val="00B603DD"/>
    <w:rsid w:val="00B65FED"/>
    <w:rsid w:val="00B71860"/>
    <w:rsid w:val="00B81A8D"/>
    <w:rsid w:val="00B86865"/>
    <w:rsid w:val="00B87002"/>
    <w:rsid w:val="00B8705A"/>
    <w:rsid w:val="00B93FA7"/>
    <w:rsid w:val="00B97928"/>
    <w:rsid w:val="00BA0F72"/>
    <w:rsid w:val="00BA206E"/>
    <w:rsid w:val="00BA242E"/>
    <w:rsid w:val="00BA5232"/>
    <w:rsid w:val="00BA6365"/>
    <w:rsid w:val="00BA6C6D"/>
    <w:rsid w:val="00BA7305"/>
    <w:rsid w:val="00BA7F30"/>
    <w:rsid w:val="00BB0EA9"/>
    <w:rsid w:val="00BB2BBF"/>
    <w:rsid w:val="00BB32F8"/>
    <w:rsid w:val="00BB37E4"/>
    <w:rsid w:val="00BB4544"/>
    <w:rsid w:val="00BB5E2D"/>
    <w:rsid w:val="00BC2B81"/>
    <w:rsid w:val="00BC6D66"/>
    <w:rsid w:val="00BC78AC"/>
    <w:rsid w:val="00BD0121"/>
    <w:rsid w:val="00BD0A7F"/>
    <w:rsid w:val="00BD1576"/>
    <w:rsid w:val="00BE021F"/>
    <w:rsid w:val="00BE073E"/>
    <w:rsid w:val="00BE107F"/>
    <w:rsid w:val="00BE4D11"/>
    <w:rsid w:val="00BE65AA"/>
    <w:rsid w:val="00BF2598"/>
    <w:rsid w:val="00BF291E"/>
    <w:rsid w:val="00BF4714"/>
    <w:rsid w:val="00BF78A2"/>
    <w:rsid w:val="00C00AB1"/>
    <w:rsid w:val="00C03ED4"/>
    <w:rsid w:val="00C049C5"/>
    <w:rsid w:val="00C07AAC"/>
    <w:rsid w:val="00C07BD7"/>
    <w:rsid w:val="00C113EB"/>
    <w:rsid w:val="00C12A01"/>
    <w:rsid w:val="00C15F33"/>
    <w:rsid w:val="00C2621B"/>
    <w:rsid w:val="00C26252"/>
    <w:rsid w:val="00C262D4"/>
    <w:rsid w:val="00C26A70"/>
    <w:rsid w:val="00C26E66"/>
    <w:rsid w:val="00C30292"/>
    <w:rsid w:val="00C341EF"/>
    <w:rsid w:val="00C346B6"/>
    <w:rsid w:val="00C35B92"/>
    <w:rsid w:val="00C378F7"/>
    <w:rsid w:val="00C40EA2"/>
    <w:rsid w:val="00C42382"/>
    <w:rsid w:val="00C46CD6"/>
    <w:rsid w:val="00C555A2"/>
    <w:rsid w:val="00C579F2"/>
    <w:rsid w:val="00C71837"/>
    <w:rsid w:val="00C721B3"/>
    <w:rsid w:val="00C75E58"/>
    <w:rsid w:val="00C82521"/>
    <w:rsid w:val="00C83B90"/>
    <w:rsid w:val="00C83BDE"/>
    <w:rsid w:val="00C8640E"/>
    <w:rsid w:val="00C913CD"/>
    <w:rsid w:val="00C937B9"/>
    <w:rsid w:val="00C94FDA"/>
    <w:rsid w:val="00C9753E"/>
    <w:rsid w:val="00C97597"/>
    <w:rsid w:val="00CA0328"/>
    <w:rsid w:val="00CA0E62"/>
    <w:rsid w:val="00CA0ECF"/>
    <w:rsid w:val="00CB0512"/>
    <w:rsid w:val="00CB1649"/>
    <w:rsid w:val="00CB62ED"/>
    <w:rsid w:val="00CC5841"/>
    <w:rsid w:val="00CC5A22"/>
    <w:rsid w:val="00CC7C64"/>
    <w:rsid w:val="00CD3ECF"/>
    <w:rsid w:val="00CD49A1"/>
    <w:rsid w:val="00CD6DE7"/>
    <w:rsid w:val="00CE1EF7"/>
    <w:rsid w:val="00CE5DFC"/>
    <w:rsid w:val="00CE6EBA"/>
    <w:rsid w:val="00CE7979"/>
    <w:rsid w:val="00CF311D"/>
    <w:rsid w:val="00CF4EC4"/>
    <w:rsid w:val="00CF5EE1"/>
    <w:rsid w:val="00D004D6"/>
    <w:rsid w:val="00D01025"/>
    <w:rsid w:val="00D011D2"/>
    <w:rsid w:val="00D025A5"/>
    <w:rsid w:val="00D0336B"/>
    <w:rsid w:val="00D03C77"/>
    <w:rsid w:val="00D043E2"/>
    <w:rsid w:val="00D04ED3"/>
    <w:rsid w:val="00D074DF"/>
    <w:rsid w:val="00D13FDF"/>
    <w:rsid w:val="00D17B2D"/>
    <w:rsid w:val="00D17E37"/>
    <w:rsid w:val="00D22556"/>
    <w:rsid w:val="00D24B12"/>
    <w:rsid w:val="00D26019"/>
    <w:rsid w:val="00D30112"/>
    <w:rsid w:val="00D30295"/>
    <w:rsid w:val="00D34874"/>
    <w:rsid w:val="00D34D65"/>
    <w:rsid w:val="00D34DB9"/>
    <w:rsid w:val="00D35F3D"/>
    <w:rsid w:val="00D40736"/>
    <w:rsid w:val="00D41F39"/>
    <w:rsid w:val="00D42363"/>
    <w:rsid w:val="00D42C30"/>
    <w:rsid w:val="00D43D39"/>
    <w:rsid w:val="00D46433"/>
    <w:rsid w:val="00D5212C"/>
    <w:rsid w:val="00D532EE"/>
    <w:rsid w:val="00D55270"/>
    <w:rsid w:val="00D56D31"/>
    <w:rsid w:val="00D6401F"/>
    <w:rsid w:val="00D66E84"/>
    <w:rsid w:val="00D703C8"/>
    <w:rsid w:val="00D76027"/>
    <w:rsid w:val="00D84079"/>
    <w:rsid w:val="00D911E3"/>
    <w:rsid w:val="00D912D9"/>
    <w:rsid w:val="00D91A51"/>
    <w:rsid w:val="00D91A88"/>
    <w:rsid w:val="00D92E6E"/>
    <w:rsid w:val="00D92F2B"/>
    <w:rsid w:val="00D939D1"/>
    <w:rsid w:val="00D956E9"/>
    <w:rsid w:val="00DA0BB9"/>
    <w:rsid w:val="00DA208D"/>
    <w:rsid w:val="00DA2343"/>
    <w:rsid w:val="00DA3184"/>
    <w:rsid w:val="00DA57FD"/>
    <w:rsid w:val="00DA6E84"/>
    <w:rsid w:val="00DB138B"/>
    <w:rsid w:val="00DB1584"/>
    <w:rsid w:val="00DB309B"/>
    <w:rsid w:val="00DB3AA8"/>
    <w:rsid w:val="00DB4221"/>
    <w:rsid w:val="00DB42E5"/>
    <w:rsid w:val="00DB7487"/>
    <w:rsid w:val="00DC07E1"/>
    <w:rsid w:val="00DC36AB"/>
    <w:rsid w:val="00DC5C8A"/>
    <w:rsid w:val="00DC5DCA"/>
    <w:rsid w:val="00DC6CB5"/>
    <w:rsid w:val="00DD1107"/>
    <w:rsid w:val="00DD339A"/>
    <w:rsid w:val="00DD5077"/>
    <w:rsid w:val="00DD5C0F"/>
    <w:rsid w:val="00DD795F"/>
    <w:rsid w:val="00DE1CFA"/>
    <w:rsid w:val="00DE41AD"/>
    <w:rsid w:val="00DE4A1C"/>
    <w:rsid w:val="00DE7640"/>
    <w:rsid w:val="00DF1164"/>
    <w:rsid w:val="00E05AD6"/>
    <w:rsid w:val="00E05DEF"/>
    <w:rsid w:val="00E102A5"/>
    <w:rsid w:val="00E108C0"/>
    <w:rsid w:val="00E11457"/>
    <w:rsid w:val="00E21A00"/>
    <w:rsid w:val="00E2284A"/>
    <w:rsid w:val="00E245E5"/>
    <w:rsid w:val="00E31FDC"/>
    <w:rsid w:val="00E338A4"/>
    <w:rsid w:val="00E33BCD"/>
    <w:rsid w:val="00E359A7"/>
    <w:rsid w:val="00E3764F"/>
    <w:rsid w:val="00E40A9B"/>
    <w:rsid w:val="00E421A6"/>
    <w:rsid w:val="00E46E3E"/>
    <w:rsid w:val="00E538C3"/>
    <w:rsid w:val="00E545AD"/>
    <w:rsid w:val="00E56F51"/>
    <w:rsid w:val="00E57833"/>
    <w:rsid w:val="00E57BB7"/>
    <w:rsid w:val="00E66B2F"/>
    <w:rsid w:val="00E67582"/>
    <w:rsid w:val="00E731C4"/>
    <w:rsid w:val="00E76A01"/>
    <w:rsid w:val="00E771C5"/>
    <w:rsid w:val="00E77E66"/>
    <w:rsid w:val="00E826C6"/>
    <w:rsid w:val="00E83F50"/>
    <w:rsid w:val="00E849D9"/>
    <w:rsid w:val="00E93B49"/>
    <w:rsid w:val="00E948C4"/>
    <w:rsid w:val="00E95412"/>
    <w:rsid w:val="00EA0E3D"/>
    <w:rsid w:val="00EA1350"/>
    <w:rsid w:val="00EA1D4E"/>
    <w:rsid w:val="00EB0CB1"/>
    <w:rsid w:val="00EB1644"/>
    <w:rsid w:val="00EB5C6F"/>
    <w:rsid w:val="00EB6962"/>
    <w:rsid w:val="00EC0C15"/>
    <w:rsid w:val="00EC382F"/>
    <w:rsid w:val="00EC4F79"/>
    <w:rsid w:val="00EC76E6"/>
    <w:rsid w:val="00ED0A74"/>
    <w:rsid w:val="00ED72CB"/>
    <w:rsid w:val="00EF0062"/>
    <w:rsid w:val="00EF0729"/>
    <w:rsid w:val="00EF2C69"/>
    <w:rsid w:val="00EF499F"/>
    <w:rsid w:val="00EF52D4"/>
    <w:rsid w:val="00EF53AF"/>
    <w:rsid w:val="00EF6C91"/>
    <w:rsid w:val="00EF6D81"/>
    <w:rsid w:val="00EF7F60"/>
    <w:rsid w:val="00F013EF"/>
    <w:rsid w:val="00F02F3C"/>
    <w:rsid w:val="00F10AD0"/>
    <w:rsid w:val="00F1164D"/>
    <w:rsid w:val="00F12069"/>
    <w:rsid w:val="00F12FB2"/>
    <w:rsid w:val="00F205C3"/>
    <w:rsid w:val="00F21B80"/>
    <w:rsid w:val="00F2449C"/>
    <w:rsid w:val="00F2528F"/>
    <w:rsid w:val="00F27C21"/>
    <w:rsid w:val="00F30232"/>
    <w:rsid w:val="00F30A7B"/>
    <w:rsid w:val="00F33FE1"/>
    <w:rsid w:val="00F343FE"/>
    <w:rsid w:val="00F34C96"/>
    <w:rsid w:val="00F35EC7"/>
    <w:rsid w:val="00F3609A"/>
    <w:rsid w:val="00F4192B"/>
    <w:rsid w:val="00F43EE2"/>
    <w:rsid w:val="00F45DBC"/>
    <w:rsid w:val="00F46913"/>
    <w:rsid w:val="00F533DD"/>
    <w:rsid w:val="00F535A6"/>
    <w:rsid w:val="00F56001"/>
    <w:rsid w:val="00F63D39"/>
    <w:rsid w:val="00F652E3"/>
    <w:rsid w:val="00F656E5"/>
    <w:rsid w:val="00F70ECF"/>
    <w:rsid w:val="00F71CEC"/>
    <w:rsid w:val="00F72D3F"/>
    <w:rsid w:val="00F7365A"/>
    <w:rsid w:val="00F74EDB"/>
    <w:rsid w:val="00F77CBF"/>
    <w:rsid w:val="00F80208"/>
    <w:rsid w:val="00F80A3F"/>
    <w:rsid w:val="00F82B78"/>
    <w:rsid w:val="00F85BCF"/>
    <w:rsid w:val="00F877F2"/>
    <w:rsid w:val="00F9036C"/>
    <w:rsid w:val="00F93C38"/>
    <w:rsid w:val="00F96BA7"/>
    <w:rsid w:val="00F96E35"/>
    <w:rsid w:val="00F97174"/>
    <w:rsid w:val="00F97D6F"/>
    <w:rsid w:val="00FA3645"/>
    <w:rsid w:val="00FA5B2E"/>
    <w:rsid w:val="00FA5FCB"/>
    <w:rsid w:val="00FB23B6"/>
    <w:rsid w:val="00FB3960"/>
    <w:rsid w:val="00FB77E3"/>
    <w:rsid w:val="00FC1C2D"/>
    <w:rsid w:val="00FC5FCE"/>
    <w:rsid w:val="00FC66C1"/>
    <w:rsid w:val="00FD09FB"/>
    <w:rsid w:val="00FD0C70"/>
    <w:rsid w:val="00FD0F82"/>
    <w:rsid w:val="00FD3EB1"/>
    <w:rsid w:val="00FE0623"/>
    <w:rsid w:val="00FE47D4"/>
    <w:rsid w:val="00FE6A24"/>
    <w:rsid w:val="00FE7273"/>
    <w:rsid w:val="00FF0321"/>
    <w:rsid w:val="00FF2EE2"/>
    <w:rsid w:val="00FF38A6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705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5504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1408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7518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0584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0168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844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0539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9268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0984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8695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0702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079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419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798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6823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746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4140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8133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5366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061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051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4918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3726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02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4003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5038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52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3345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0002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8146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9069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146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704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5106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</w:divsChild>
        </w:div>
        <w:div w:id="15027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2079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9384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764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104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0607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6751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90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7957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470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866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191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7390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679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2924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7909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2537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6907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4160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028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4152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4179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0229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947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9611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4885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5890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6319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3890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1761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8386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9497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0560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9655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4556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274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</w:divsChild>
        </w:div>
        <w:div w:id="1592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kommersant.ru/doc.aspx?docsid=19813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1719</Words>
  <Characters>9800</Characters>
  <Application>Microsoft Office Word</Application>
  <DocSecurity>0</DocSecurity>
  <Lines>81</Lines>
  <Paragraphs>22</Paragraphs>
  <ScaleCrop>false</ScaleCrop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 Александр Александрович</dc:creator>
  <cp:keywords/>
  <dc:description/>
  <cp:lastModifiedBy>Агафонов Александр Александрович</cp:lastModifiedBy>
  <cp:revision>2</cp:revision>
  <dcterms:created xsi:type="dcterms:W3CDTF">2012-07-16T04:39:00Z</dcterms:created>
  <dcterms:modified xsi:type="dcterms:W3CDTF">2012-07-16T04:39:00Z</dcterms:modified>
</cp:coreProperties>
</file>