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58" w:rsidRPr="00457453" w:rsidRDefault="00926858" w:rsidP="00457453">
      <w:pPr>
        <w:pStyle w:val="Title"/>
        <w:rPr>
          <w:sz w:val="22"/>
          <w:szCs w:val="24"/>
        </w:rPr>
      </w:pPr>
      <w:r w:rsidRPr="006927D6">
        <w:rPr>
          <w:sz w:val="22"/>
          <w:szCs w:val="24"/>
        </w:rPr>
        <w:t>СОГЛАШЕНИЕ</w:t>
      </w:r>
      <w:r>
        <w:rPr>
          <w:sz w:val="22"/>
          <w:szCs w:val="24"/>
        </w:rPr>
        <w:t xml:space="preserve"> </w:t>
      </w:r>
      <w:r w:rsidRPr="006927D6">
        <w:rPr>
          <w:sz w:val="22"/>
          <w:szCs w:val="24"/>
        </w:rPr>
        <w:t>О ЗАДАТКЕ</w:t>
      </w:r>
      <w:r>
        <w:rPr>
          <w:sz w:val="22"/>
        </w:rPr>
        <w:t xml:space="preserve"> № 01</w:t>
      </w:r>
    </w:p>
    <w:p w:rsidR="00926858" w:rsidRPr="006927D6" w:rsidRDefault="00926858" w:rsidP="00EE5B69">
      <w:pPr>
        <w:jc w:val="center"/>
        <w:rPr>
          <w:bCs/>
          <w:sz w:val="16"/>
          <w:szCs w:val="16"/>
        </w:rPr>
      </w:pPr>
    </w:p>
    <w:p w:rsidR="00926858" w:rsidRPr="006927D6" w:rsidRDefault="00926858" w:rsidP="00EE5B69">
      <w:pPr>
        <w:pStyle w:val="BodyText"/>
      </w:pPr>
      <w:r>
        <w:t xml:space="preserve">г. Екатеринбург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</w:t>
      </w:r>
      <w:r w:rsidRPr="006927D6">
        <w:t>"</w:t>
      </w:r>
      <w:r>
        <w:t>___</w:t>
      </w:r>
      <w:r w:rsidRPr="006927D6">
        <w:t xml:space="preserve"> "</w:t>
      </w:r>
      <w:r>
        <w:t xml:space="preserve"> ноября</w:t>
      </w:r>
      <w:r w:rsidRPr="006927D6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927D6">
          <w:t>20</w:t>
        </w:r>
        <w:r>
          <w:t>12</w:t>
        </w:r>
        <w:r w:rsidRPr="006927D6">
          <w:t xml:space="preserve"> г</w:t>
        </w:r>
      </w:smartTag>
      <w:r w:rsidRPr="006927D6">
        <w:t>.</w:t>
      </w:r>
    </w:p>
    <w:p w:rsidR="00926858" w:rsidRPr="006927D6" w:rsidRDefault="00926858" w:rsidP="00EE5B69">
      <w:pPr>
        <w:pStyle w:val="BodyText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926858" w:rsidRPr="006927D6" w:rsidTr="002B6E79">
        <w:tc>
          <w:tcPr>
            <w:tcW w:w="3119" w:type="dxa"/>
          </w:tcPr>
          <w:p w:rsidR="00926858" w:rsidRPr="006927D6" w:rsidRDefault="00926858" w:rsidP="002B6E79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 w:rsidRPr="00111BF8"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:rsidR="00926858" w:rsidRPr="006927D6" w:rsidRDefault="00926858" w:rsidP="00496A3E">
            <w:pPr>
              <w:jc w:val="both"/>
            </w:pPr>
            <w:r>
              <w:rPr>
                <w:sz w:val="22"/>
                <w:szCs w:val="22"/>
              </w:rPr>
              <w:t>Закрытое акционерное общество</w:t>
            </w:r>
            <w:r w:rsidRPr="004306D6">
              <w:rPr>
                <w:sz w:val="22"/>
              </w:rPr>
              <w:t>"</w:t>
            </w:r>
            <w:r>
              <w:rPr>
                <w:sz w:val="22"/>
              </w:rPr>
              <w:t>Альфа Моторс</w:t>
            </w:r>
            <w:r w:rsidRPr="004306D6">
              <w:rPr>
                <w:sz w:val="22"/>
              </w:rPr>
              <w:t>"</w:t>
            </w:r>
          </w:p>
        </w:tc>
      </w:tr>
      <w:tr w:rsidR="00926858" w:rsidRPr="006927D6" w:rsidTr="002B6E79">
        <w:tc>
          <w:tcPr>
            <w:tcW w:w="3119" w:type="dxa"/>
          </w:tcPr>
          <w:p w:rsidR="00926858" w:rsidRPr="006927D6" w:rsidRDefault="00926858" w:rsidP="002B6E79">
            <w:r w:rsidRPr="006927D6">
              <w:t>в лице:</w:t>
            </w:r>
          </w:p>
        </w:tc>
        <w:tc>
          <w:tcPr>
            <w:tcW w:w="6804" w:type="dxa"/>
          </w:tcPr>
          <w:p w:rsidR="00926858" w:rsidRPr="004306D6" w:rsidRDefault="00926858" w:rsidP="00496A3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Конкурсного управляющего Паньшиной Елены Павловны</w:t>
            </w:r>
          </w:p>
        </w:tc>
      </w:tr>
      <w:tr w:rsidR="00926858" w:rsidRPr="006927D6" w:rsidTr="002B6E79">
        <w:tc>
          <w:tcPr>
            <w:tcW w:w="3119" w:type="dxa"/>
          </w:tcPr>
          <w:p w:rsidR="00926858" w:rsidRPr="006927D6" w:rsidRDefault="00926858" w:rsidP="002B6E79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926858" w:rsidRPr="004306D6" w:rsidRDefault="00926858" w:rsidP="004574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Решения Арбитражного суда Свердловской области по делу № А60-25055/2010 от 29.04.2011 г., Определения Арбитражного суда Свердловской области от 05.10.2011 г., Определения Арбитражного суда Свердловской области от 11.01.2012 г., Определения Арбитражного суда Свердловской области от 14.06.2012 г., </w:t>
            </w:r>
            <w:r w:rsidRPr="002B3221">
              <w:rPr>
                <w:sz w:val="22"/>
              </w:rPr>
              <w:t>Определения Арбитражного суда Свердловской области от 31.10.2012 г.</w:t>
            </w:r>
          </w:p>
        </w:tc>
      </w:tr>
    </w:tbl>
    <w:p w:rsidR="00926858" w:rsidRPr="006927D6" w:rsidRDefault="00926858" w:rsidP="00EE5B69">
      <w:pPr>
        <w:rPr>
          <w:sz w:val="22"/>
        </w:rPr>
      </w:pPr>
      <w:r w:rsidRPr="006927D6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926858" w:rsidRPr="006927D6" w:rsidTr="002B6E79">
        <w:tc>
          <w:tcPr>
            <w:tcW w:w="3119" w:type="dxa"/>
          </w:tcPr>
          <w:p w:rsidR="00926858" w:rsidRPr="006927D6" w:rsidRDefault="00926858" w:rsidP="002B6E79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:rsidR="00926858" w:rsidRPr="006927D6" w:rsidRDefault="00926858" w:rsidP="00457453">
            <w:pPr>
              <w:jc w:val="both"/>
              <w:rPr>
                <w:sz w:val="22"/>
              </w:rPr>
            </w:pPr>
          </w:p>
        </w:tc>
      </w:tr>
      <w:tr w:rsidR="00926858" w:rsidRPr="006927D6" w:rsidTr="002B6E79">
        <w:tc>
          <w:tcPr>
            <w:tcW w:w="3119" w:type="dxa"/>
          </w:tcPr>
          <w:p w:rsidR="00926858" w:rsidRPr="006927D6" w:rsidRDefault="00926858" w:rsidP="002B6E79">
            <w:r w:rsidRPr="006927D6">
              <w:t>в лице</w:t>
            </w:r>
          </w:p>
        </w:tc>
        <w:tc>
          <w:tcPr>
            <w:tcW w:w="6804" w:type="dxa"/>
          </w:tcPr>
          <w:p w:rsidR="00926858" w:rsidRPr="006927D6" w:rsidRDefault="00926858" w:rsidP="002B6E79">
            <w:pPr>
              <w:jc w:val="both"/>
              <w:rPr>
                <w:sz w:val="22"/>
              </w:rPr>
            </w:pPr>
          </w:p>
        </w:tc>
      </w:tr>
      <w:tr w:rsidR="00926858" w:rsidRPr="006927D6" w:rsidTr="002B6E79">
        <w:tc>
          <w:tcPr>
            <w:tcW w:w="3119" w:type="dxa"/>
          </w:tcPr>
          <w:p w:rsidR="00926858" w:rsidRPr="006927D6" w:rsidRDefault="00926858" w:rsidP="002B6E79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926858" w:rsidRPr="006927D6" w:rsidRDefault="00926858" w:rsidP="002B6E79">
            <w:pPr>
              <w:jc w:val="both"/>
              <w:rPr>
                <w:sz w:val="22"/>
              </w:rPr>
            </w:pPr>
          </w:p>
        </w:tc>
      </w:tr>
    </w:tbl>
    <w:p w:rsidR="00926858" w:rsidRPr="006927D6" w:rsidRDefault="00926858" w:rsidP="00EE5B69">
      <w:pPr>
        <w:rPr>
          <w:sz w:val="22"/>
        </w:rPr>
      </w:pPr>
      <w:r w:rsidRPr="006927D6">
        <w:rPr>
          <w:sz w:val="22"/>
        </w:rPr>
        <w:t xml:space="preserve">с другой стороны, </w:t>
      </w:r>
    </w:p>
    <w:p w:rsidR="00926858" w:rsidRPr="006927D6" w:rsidRDefault="00926858" w:rsidP="00EE5B69">
      <w:pPr>
        <w:pStyle w:val="BodyText"/>
        <w:rPr>
          <w:sz w:val="16"/>
          <w:szCs w:val="16"/>
        </w:rPr>
      </w:pPr>
    </w:p>
    <w:p w:rsidR="00926858" w:rsidRPr="006927D6" w:rsidRDefault="00926858" w:rsidP="00EE5B69">
      <w:pPr>
        <w:pStyle w:val="BodyText"/>
      </w:pPr>
      <w:r w:rsidRPr="006927D6">
        <w:rPr>
          <w:b/>
          <w:u w:val="single"/>
        </w:rPr>
        <w:t>РУКОВОДСТВУЯСЬ:</w:t>
      </w:r>
      <w:r>
        <w:rPr>
          <w:b/>
          <w:u w:val="single"/>
        </w:rPr>
        <w:t xml:space="preserve"> </w:t>
      </w:r>
      <w:r w:rsidRPr="006927D6">
        <w:t>ст. ст. 380 – 381, ст. ст. 447 – 449 ГК РФ, ст. ст. 110 – 111, ст. ст. 129, 131, 139 ФЗ "О несостоятельности (банкротстве)" от 26.10.2002 г. № 127-ФЗ, П</w:t>
      </w:r>
      <w:r>
        <w:t xml:space="preserve">редложением </w:t>
      </w:r>
      <w:r w:rsidRPr="006927D6">
        <w:t>о порядке</w:t>
      </w:r>
      <w:r>
        <w:t xml:space="preserve">, сроках и об условиях </w:t>
      </w:r>
      <w:r w:rsidRPr="006927D6">
        <w:t xml:space="preserve"> продажи</w:t>
      </w:r>
      <w:r>
        <w:t xml:space="preserve"> имущества Закрытого  акционерного общества «Альфа Моторс»,</w:t>
      </w:r>
      <w:r w:rsidRPr="006927D6">
        <w:t xml:space="preserve"> утв</w:t>
      </w:r>
      <w:r>
        <w:t>ержденного Комитетом кредиторов ЗАО «Альфа Моторс» 24.10.2012 г.,</w:t>
      </w:r>
    </w:p>
    <w:p w:rsidR="00926858" w:rsidRPr="006927D6" w:rsidRDefault="00926858" w:rsidP="00EE5B69">
      <w:pPr>
        <w:pStyle w:val="BodyText"/>
      </w:pPr>
      <w:r w:rsidRPr="006927D6">
        <w:rPr>
          <w:b/>
          <w:u w:val="single"/>
        </w:rPr>
        <w:t>ЗАКЛЮЧИЛИ</w:t>
      </w:r>
      <w:r>
        <w:rPr>
          <w:b/>
          <w:u w:val="single"/>
        </w:rPr>
        <w:t xml:space="preserve"> </w:t>
      </w:r>
      <w:r w:rsidRPr="006927D6">
        <w:t>настоящее соглашение (далее по тексту – "настоящее Соглашение") о нижеследующем:</w:t>
      </w:r>
    </w:p>
    <w:p w:rsidR="00926858" w:rsidRPr="006927D6" w:rsidRDefault="00926858" w:rsidP="00EE5B69">
      <w:pPr>
        <w:pStyle w:val="BodyText"/>
        <w:rPr>
          <w:sz w:val="16"/>
          <w:szCs w:val="16"/>
        </w:rPr>
      </w:pPr>
    </w:p>
    <w:p w:rsidR="00926858" w:rsidRPr="006927D6" w:rsidRDefault="00926858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1. Предмет соглашения.</w:t>
      </w:r>
    </w:p>
    <w:p w:rsidR="00926858" w:rsidRPr="006927D6" w:rsidRDefault="00926858" w:rsidP="00EE5B69">
      <w:pPr>
        <w:pStyle w:val="BodyText"/>
        <w:ind w:firstLine="284"/>
      </w:pPr>
      <w:r w:rsidRPr="006927D6">
        <w:t xml:space="preserve">1.1. Заявитель обязуется </w:t>
      </w:r>
      <w:r>
        <w:t>перечислить</w:t>
      </w:r>
      <w:r w:rsidRPr="006927D6">
        <w:t xml:space="preserve"> </w:t>
      </w:r>
      <w:r>
        <w:t>Организатору торгов за</w:t>
      </w:r>
      <w:r w:rsidRPr="006927D6">
        <w:t>даток в размере, предусмотренном п. 1.2 настоящего Соглашения (далее по тексту – "Задаток"), в обеспечение исполнения договора</w:t>
      </w:r>
      <w:r>
        <w:t xml:space="preserve"> купли-продажи имущества</w:t>
      </w:r>
      <w:r w:rsidRPr="006927D6">
        <w:t xml:space="preserve">, заключенного по итогам </w:t>
      </w:r>
      <w:r>
        <w:t>торгов</w:t>
      </w:r>
      <w:r w:rsidRPr="006927D6">
        <w:t xml:space="preserve">, в случае признания Заявителя победителем </w:t>
      </w:r>
      <w:r>
        <w:t>торгов</w:t>
      </w:r>
      <w:r w:rsidRPr="006927D6">
        <w:t>.</w:t>
      </w:r>
    </w:p>
    <w:p w:rsidR="00926858" w:rsidRPr="006927D6" w:rsidRDefault="00926858" w:rsidP="00EE5B69">
      <w:pPr>
        <w:pStyle w:val="BodyText"/>
        <w:ind w:firstLine="284"/>
      </w:pPr>
      <w:r w:rsidRPr="006927D6">
        <w:t>1.2.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1984"/>
        <w:gridCol w:w="1418"/>
      </w:tblGrid>
      <w:tr w:rsidR="00926858" w:rsidRPr="006927D6" w:rsidTr="009D5A82">
        <w:tc>
          <w:tcPr>
            <w:tcW w:w="709" w:type="dxa"/>
          </w:tcPr>
          <w:p w:rsidR="00926858" w:rsidRPr="006927D6" w:rsidRDefault="00926858" w:rsidP="002B6E79">
            <w:pPr>
              <w:pStyle w:val="BodyTex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 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5812" w:type="dxa"/>
          </w:tcPr>
          <w:p w:rsidR="00926858" w:rsidRPr="006927D6" w:rsidRDefault="00926858" w:rsidP="002B6E79">
            <w:pPr>
              <w:pStyle w:val="BodyText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 xml:space="preserve">Наименование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1984" w:type="dxa"/>
          </w:tcPr>
          <w:p w:rsidR="00926858" w:rsidRPr="006927D6" w:rsidRDefault="00926858" w:rsidP="006C0ADB">
            <w:pPr>
              <w:pStyle w:val="BodyText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>Размер задатка</w:t>
            </w:r>
          </w:p>
        </w:tc>
        <w:tc>
          <w:tcPr>
            <w:tcW w:w="1418" w:type="dxa"/>
          </w:tcPr>
          <w:p w:rsidR="00926858" w:rsidRPr="006927D6" w:rsidRDefault="00926858" w:rsidP="009D5A82">
            <w:pPr>
              <w:pStyle w:val="BodyTex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Сумма задатка, без учета НДС</w:t>
            </w:r>
          </w:p>
        </w:tc>
      </w:tr>
      <w:tr w:rsidR="00926858" w:rsidRPr="006927D6" w:rsidTr="009D5A82">
        <w:trPr>
          <w:trHeight w:val="94"/>
        </w:trPr>
        <w:tc>
          <w:tcPr>
            <w:tcW w:w="709" w:type="dxa"/>
            <w:vAlign w:val="center"/>
          </w:tcPr>
          <w:p w:rsidR="00926858" w:rsidRPr="006F26AE" w:rsidRDefault="00926858" w:rsidP="00EE5B69">
            <w:pPr>
              <w:jc w:val="center"/>
            </w:pPr>
            <w:r>
              <w:t>1</w:t>
            </w:r>
          </w:p>
        </w:tc>
        <w:tc>
          <w:tcPr>
            <w:tcW w:w="5812" w:type="dxa"/>
            <w:vAlign w:val="center"/>
          </w:tcPr>
          <w:p w:rsidR="00926858" w:rsidRPr="002B3221" w:rsidRDefault="00926858" w:rsidP="0041718B">
            <w:pPr>
              <w:jc w:val="both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 xml:space="preserve">Хендэ Туссон </w:t>
            </w:r>
            <w:r w:rsidRPr="002B3221">
              <w:rPr>
                <w:sz w:val="18"/>
                <w:szCs w:val="18"/>
                <w:lang w:val="en-US"/>
              </w:rPr>
              <w:t>GLS</w:t>
            </w:r>
            <w:r w:rsidRPr="002B3221">
              <w:rPr>
                <w:sz w:val="18"/>
                <w:szCs w:val="18"/>
              </w:rPr>
              <w:t xml:space="preserve"> 2,7 АТ (идентификационный номер – </w:t>
            </w:r>
            <w:r w:rsidRPr="002B3221">
              <w:rPr>
                <w:sz w:val="18"/>
                <w:szCs w:val="18"/>
                <w:lang w:val="en-US"/>
              </w:rPr>
              <w:t>KMHJN</w:t>
            </w:r>
            <w:r w:rsidRPr="002B3221">
              <w:rPr>
                <w:sz w:val="18"/>
                <w:szCs w:val="18"/>
              </w:rPr>
              <w:t>81</w:t>
            </w:r>
            <w:r w:rsidRPr="002B3221">
              <w:rPr>
                <w:sz w:val="18"/>
                <w:szCs w:val="18"/>
                <w:lang w:val="en-US"/>
              </w:rPr>
              <w:t>DP</w:t>
            </w:r>
            <w:r w:rsidRPr="002B3221">
              <w:rPr>
                <w:sz w:val="18"/>
                <w:szCs w:val="18"/>
              </w:rPr>
              <w:t>7</w:t>
            </w:r>
            <w:r w:rsidRPr="002B3221">
              <w:rPr>
                <w:sz w:val="18"/>
                <w:szCs w:val="18"/>
                <w:lang w:val="en-US"/>
              </w:rPr>
              <w:t>U</w:t>
            </w:r>
            <w:r w:rsidRPr="002B3221">
              <w:rPr>
                <w:sz w:val="18"/>
                <w:szCs w:val="18"/>
              </w:rPr>
              <w:t>715191, год изготовления – 2007)</w:t>
            </w:r>
          </w:p>
        </w:tc>
        <w:tc>
          <w:tcPr>
            <w:tcW w:w="1984" w:type="dxa"/>
          </w:tcPr>
          <w:p w:rsidR="00926858" w:rsidRPr="002B3221" w:rsidRDefault="00926858" w:rsidP="006C0ADB">
            <w:pPr>
              <w:pStyle w:val="BodyText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10% от начальной цены продажи лота</w:t>
            </w:r>
          </w:p>
        </w:tc>
        <w:tc>
          <w:tcPr>
            <w:tcW w:w="1418" w:type="dxa"/>
          </w:tcPr>
          <w:p w:rsidR="00926858" w:rsidRDefault="00926858" w:rsidP="009D5A82">
            <w:pPr>
              <w:pStyle w:val="BodyText"/>
              <w:jc w:val="center"/>
            </w:pPr>
            <w:r>
              <w:t>281 600,00</w:t>
            </w:r>
          </w:p>
        </w:tc>
      </w:tr>
      <w:tr w:rsidR="00926858" w:rsidRPr="006927D6" w:rsidTr="009D5A82">
        <w:trPr>
          <w:trHeight w:val="94"/>
        </w:trPr>
        <w:tc>
          <w:tcPr>
            <w:tcW w:w="709" w:type="dxa"/>
            <w:vAlign w:val="center"/>
          </w:tcPr>
          <w:p w:rsidR="00926858" w:rsidRDefault="00926858" w:rsidP="00EE5B69">
            <w:pPr>
              <w:jc w:val="center"/>
            </w:pPr>
            <w:r>
              <w:t>2</w:t>
            </w:r>
          </w:p>
        </w:tc>
        <w:tc>
          <w:tcPr>
            <w:tcW w:w="5812" w:type="dxa"/>
            <w:vAlign w:val="center"/>
          </w:tcPr>
          <w:p w:rsidR="00926858" w:rsidRPr="002B3221" w:rsidRDefault="00926858" w:rsidP="0041718B">
            <w:pPr>
              <w:jc w:val="both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 xml:space="preserve">Ниссан Кашкай 2.0 </w:t>
            </w:r>
            <w:r w:rsidRPr="002B3221">
              <w:rPr>
                <w:sz w:val="18"/>
                <w:szCs w:val="18"/>
                <w:lang w:val="en-US"/>
              </w:rPr>
              <w:t>LE</w:t>
            </w:r>
            <w:r w:rsidRPr="002B3221">
              <w:rPr>
                <w:sz w:val="18"/>
                <w:szCs w:val="18"/>
              </w:rPr>
              <w:t xml:space="preserve">+ (идентификационный номер – </w:t>
            </w:r>
            <w:r w:rsidRPr="002B3221">
              <w:rPr>
                <w:sz w:val="18"/>
                <w:szCs w:val="18"/>
                <w:lang w:val="en-US"/>
              </w:rPr>
              <w:t>SJNJBNJ</w:t>
            </w:r>
            <w:r w:rsidRPr="002B3221">
              <w:rPr>
                <w:sz w:val="18"/>
                <w:szCs w:val="18"/>
              </w:rPr>
              <w:t>10</w:t>
            </w:r>
            <w:r w:rsidRPr="002B3221">
              <w:rPr>
                <w:sz w:val="18"/>
                <w:szCs w:val="18"/>
                <w:lang w:val="en-US"/>
              </w:rPr>
              <w:t>U</w:t>
            </w:r>
            <w:r w:rsidRPr="002B3221">
              <w:rPr>
                <w:sz w:val="18"/>
                <w:szCs w:val="18"/>
              </w:rPr>
              <w:t>6001660, год выпуска – 2008)</w:t>
            </w:r>
          </w:p>
        </w:tc>
        <w:tc>
          <w:tcPr>
            <w:tcW w:w="1984" w:type="dxa"/>
          </w:tcPr>
          <w:p w:rsidR="00926858" w:rsidRPr="002B3221" w:rsidRDefault="00926858" w:rsidP="006C0ADB">
            <w:pPr>
              <w:pStyle w:val="BodyText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10% от начальной цены продажи лота</w:t>
            </w:r>
          </w:p>
        </w:tc>
        <w:tc>
          <w:tcPr>
            <w:tcW w:w="1418" w:type="dxa"/>
          </w:tcPr>
          <w:p w:rsidR="00926858" w:rsidRDefault="00926858" w:rsidP="009D5A82">
            <w:pPr>
              <w:pStyle w:val="BodyText"/>
              <w:jc w:val="center"/>
            </w:pPr>
            <w:r>
              <w:t>308 200,00</w:t>
            </w:r>
          </w:p>
        </w:tc>
      </w:tr>
      <w:tr w:rsidR="00926858" w:rsidRPr="006927D6" w:rsidTr="009D5A82">
        <w:trPr>
          <w:trHeight w:val="94"/>
        </w:trPr>
        <w:tc>
          <w:tcPr>
            <w:tcW w:w="709" w:type="dxa"/>
            <w:vAlign w:val="center"/>
          </w:tcPr>
          <w:p w:rsidR="00926858" w:rsidRDefault="00926858" w:rsidP="00EE5B69">
            <w:pPr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926858" w:rsidRPr="002B3221" w:rsidRDefault="00926858" w:rsidP="0041718B">
            <w:pPr>
              <w:jc w:val="both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 xml:space="preserve">Ниссан Кашкай 2,0 ТЕКНА ПАК (идентификационный номер – </w:t>
            </w:r>
            <w:r w:rsidRPr="002B3221">
              <w:rPr>
                <w:sz w:val="18"/>
                <w:szCs w:val="18"/>
                <w:lang w:val="en-US"/>
              </w:rPr>
              <w:t>SJNFBNJ</w:t>
            </w:r>
            <w:r w:rsidRPr="002B3221">
              <w:rPr>
                <w:sz w:val="18"/>
                <w:szCs w:val="18"/>
              </w:rPr>
              <w:t>10</w:t>
            </w:r>
            <w:r w:rsidRPr="002B3221">
              <w:rPr>
                <w:sz w:val="18"/>
                <w:szCs w:val="18"/>
                <w:lang w:val="en-US"/>
              </w:rPr>
              <w:t>U</w:t>
            </w:r>
            <w:r w:rsidRPr="002B3221">
              <w:rPr>
                <w:sz w:val="18"/>
                <w:szCs w:val="18"/>
              </w:rPr>
              <w:t>1223754, год выпуска – 2008)</w:t>
            </w:r>
          </w:p>
        </w:tc>
        <w:tc>
          <w:tcPr>
            <w:tcW w:w="1984" w:type="dxa"/>
          </w:tcPr>
          <w:p w:rsidR="00926858" w:rsidRPr="002B3221" w:rsidRDefault="00926858" w:rsidP="006C0ADB">
            <w:pPr>
              <w:pStyle w:val="BodyText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10% от начальной цены продажи лота</w:t>
            </w:r>
          </w:p>
        </w:tc>
        <w:tc>
          <w:tcPr>
            <w:tcW w:w="1418" w:type="dxa"/>
          </w:tcPr>
          <w:p w:rsidR="00926858" w:rsidRDefault="00926858" w:rsidP="009D5A82">
            <w:pPr>
              <w:pStyle w:val="BodyText"/>
              <w:jc w:val="center"/>
            </w:pPr>
            <w:r>
              <w:t>361 200,00</w:t>
            </w:r>
          </w:p>
        </w:tc>
      </w:tr>
      <w:tr w:rsidR="00926858" w:rsidRPr="006927D6" w:rsidTr="009D5A82">
        <w:trPr>
          <w:trHeight w:val="94"/>
        </w:trPr>
        <w:tc>
          <w:tcPr>
            <w:tcW w:w="709" w:type="dxa"/>
            <w:vAlign w:val="center"/>
          </w:tcPr>
          <w:p w:rsidR="00926858" w:rsidRDefault="00926858" w:rsidP="00EE5B69">
            <w:pPr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926858" w:rsidRPr="002B3221" w:rsidRDefault="00926858" w:rsidP="0041718B">
            <w:pPr>
              <w:jc w:val="both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Земельный участок. Категория земель: земли населенных пунктов. Разрешенное использование: садоводство. Площадь 625 кв.м. Местоположение: Российская Федерация, Свердловская область, г. Екатеринбург, земельный участок расположен в северо-восточной части кадастрового квартала, ограниченного ориентирами: окружен 90 кв. Центрального лесничества лесопарка им. Лесоводов России (садоводческий потребительский кооператив «Виктория», уч. № 37). Кадастровый номер - 66:41:05 03 014:0037.</w:t>
            </w:r>
          </w:p>
        </w:tc>
        <w:tc>
          <w:tcPr>
            <w:tcW w:w="1984" w:type="dxa"/>
          </w:tcPr>
          <w:p w:rsidR="00926858" w:rsidRPr="002B3221" w:rsidRDefault="00926858" w:rsidP="006C0ADB">
            <w:pPr>
              <w:pStyle w:val="BodyText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10% от начальной цены продажи лота</w:t>
            </w:r>
          </w:p>
        </w:tc>
        <w:tc>
          <w:tcPr>
            <w:tcW w:w="1418" w:type="dxa"/>
          </w:tcPr>
          <w:p w:rsidR="00926858" w:rsidRDefault="00926858" w:rsidP="009D5A82">
            <w:pPr>
              <w:pStyle w:val="BodyText"/>
              <w:jc w:val="center"/>
            </w:pPr>
            <w:r>
              <w:t>106 100,00</w:t>
            </w:r>
          </w:p>
        </w:tc>
      </w:tr>
      <w:tr w:rsidR="00926858" w:rsidRPr="006927D6" w:rsidTr="009D5A82">
        <w:trPr>
          <w:trHeight w:val="94"/>
        </w:trPr>
        <w:tc>
          <w:tcPr>
            <w:tcW w:w="709" w:type="dxa"/>
            <w:vAlign w:val="center"/>
          </w:tcPr>
          <w:p w:rsidR="00926858" w:rsidRDefault="00926858" w:rsidP="00EE5B69">
            <w:pPr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926858" w:rsidRPr="002B3221" w:rsidRDefault="00926858" w:rsidP="0041718B">
            <w:pPr>
              <w:jc w:val="both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Земельный участок. Категория земель: земли населенных пунктов. Разрешенное использование: садоводство. Площадь 632 кв.м. Местоположение: Российская Федерация, Свердловская область, г. Екатеринбург, земельный участок расположен в северо-восточной части кадастрового квартала, ограниченного ориентирами: окружен 90 кв. Центрального лесничества лесопарка им. Лесоводов России (садоводческий потребительский кооператив «Виктория», уч. № 38). Кадастровый номер - 66:41:05 03 014:0038.</w:t>
            </w:r>
          </w:p>
        </w:tc>
        <w:tc>
          <w:tcPr>
            <w:tcW w:w="1984" w:type="dxa"/>
          </w:tcPr>
          <w:p w:rsidR="00926858" w:rsidRPr="002B3221" w:rsidRDefault="00926858" w:rsidP="006C0ADB">
            <w:pPr>
              <w:pStyle w:val="BodyText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10% от начальной цены продажи лота</w:t>
            </w:r>
          </w:p>
        </w:tc>
        <w:tc>
          <w:tcPr>
            <w:tcW w:w="1418" w:type="dxa"/>
          </w:tcPr>
          <w:p w:rsidR="00926858" w:rsidRDefault="00926858" w:rsidP="009D5A82">
            <w:pPr>
              <w:pStyle w:val="BodyText"/>
              <w:jc w:val="center"/>
            </w:pPr>
            <w:r>
              <w:t>92 600,00</w:t>
            </w:r>
          </w:p>
        </w:tc>
      </w:tr>
      <w:tr w:rsidR="00926858" w:rsidRPr="006927D6" w:rsidTr="009D5A82">
        <w:trPr>
          <w:trHeight w:val="94"/>
        </w:trPr>
        <w:tc>
          <w:tcPr>
            <w:tcW w:w="709" w:type="dxa"/>
            <w:vAlign w:val="center"/>
          </w:tcPr>
          <w:p w:rsidR="00926858" w:rsidRDefault="00926858" w:rsidP="00EE5B69">
            <w:pPr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926858" w:rsidRPr="002B3221" w:rsidRDefault="00926858" w:rsidP="0041718B">
            <w:pPr>
              <w:jc w:val="both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100 % доли уставного капитала ООО «Автогарантсервис»,  принадлежащей ЗАО «Альфа Моторс»</w:t>
            </w:r>
          </w:p>
        </w:tc>
        <w:tc>
          <w:tcPr>
            <w:tcW w:w="1984" w:type="dxa"/>
          </w:tcPr>
          <w:p w:rsidR="00926858" w:rsidRPr="002B3221" w:rsidRDefault="00926858" w:rsidP="006C0ADB">
            <w:pPr>
              <w:pStyle w:val="BodyText"/>
              <w:rPr>
                <w:sz w:val="18"/>
                <w:szCs w:val="18"/>
              </w:rPr>
            </w:pPr>
            <w:r w:rsidRPr="002B3221">
              <w:rPr>
                <w:sz w:val="18"/>
                <w:szCs w:val="18"/>
              </w:rPr>
              <w:t>10% от начальной цены продажи лота</w:t>
            </w:r>
          </w:p>
        </w:tc>
        <w:tc>
          <w:tcPr>
            <w:tcW w:w="1418" w:type="dxa"/>
          </w:tcPr>
          <w:p w:rsidR="00926858" w:rsidRDefault="00926858" w:rsidP="009D5A82">
            <w:pPr>
              <w:pStyle w:val="BodyText"/>
              <w:jc w:val="center"/>
            </w:pPr>
            <w:r>
              <w:t>2 700,00</w:t>
            </w:r>
          </w:p>
        </w:tc>
      </w:tr>
    </w:tbl>
    <w:p w:rsidR="00926858" w:rsidRPr="006927D6" w:rsidRDefault="00926858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2. Обязанности Сторон.</w:t>
      </w:r>
    </w:p>
    <w:p w:rsidR="00926858" w:rsidRPr="006927D6" w:rsidRDefault="00926858" w:rsidP="00EE5B69">
      <w:pPr>
        <w:pStyle w:val="BodyText"/>
        <w:ind w:firstLine="284"/>
        <w:rPr>
          <w:szCs w:val="22"/>
        </w:rPr>
      </w:pPr>
      <w:r w:rsidRPr="006927D6">
        <w:rPr>
          <w:szCs w:val="22"/>
        </w:rPr>
        <w:t>2.1. Заявитель принимает на себя обязанность:</w:t>
      </w:r>
    </w:p>
    <w:p w:rsidR="00926858" w:rsidRPr="006927D6" w:rsidRDefault="00926858" w:rsidP="00EE5B69">
      <w:pPr>
        <w:pStyle w:val="BodyText"/>
        <w:ind w:firstLine="284"/>
      </w:pPr>
      <w:r w:rsidRPr="006927D6">
        <w:t>2.1.1. Уплатить Задаток в размере, порядке и сроки, установленные настоящим Договором.</w:t>
      </w:r>
    </w:p>
    <w:p w:rsidR="00926858" w:rsidRPr="006927D6" w:rsidRDefault="00926858" w:rsidP="00EE5B69">
      <w:pPr>
        <w:pStyle w:val="BodyText"/>
        <w:ind w:firstLine="284"/>
      </w:pPr>
      <w:r w:rsidRPr="006927D6">
        <w:t xml:space="preserve">2.2. Переданная </w:t>
      </w:r>
      <w:r>
        <w:t>Организатору торгов</w:t>
      </w:r>
      <w:r w:rsidRPr="006927D6">
        <w:t xml:space="preserve"> сумма Задатка засчитывается в счет предстоящих платежей Заявителя.</w:t>
      </w:r>
    </w:p>
    <w:p w:rsidR="00926858" w:rsidRPr="006927D6" w:rsidRDefault="00926858" w:rsidP="00EE5B69">
      <w:pPr>
        <w:pStyle w:val="BodyText"/>
        <w:ind w:firstLine="284"/>
        <w:rPr>
          <w:szCs w:val="22"/>
        </w:rPr>
      </w:pPr>
      <w:r w:rsidRPr="006927D6">
        <w:rPr>
          <w:szCs w:val="22"/>
        </w:rPr>
        <w:t xml:space="preserve">2.3. </w:t>
      </w:r>
      <w:r>
        <w:rPr>
          <w:szCs w:val="22"/>
        </w:rPr>
        <w:t>Организатор торгов</w:t>
      </w:r>
      <w:r w:rsidRPr="006927D6">
        <w:rPr>
          <w:szCs w:val="22"/>
        </w:rPr>
        <w:t xml:space="preserve"> принимает на себя обязанность:</w:t>
      </w:r>
    </w:p>
    <w:p w:rsidR="00926858" w:rsidRPr="006927D6" w:rsidRDefault="00926858" w:rsidP="00EE5B69">
      <w:pPr>
        <w:pStyle w:val="BodyText"/>
        <w:ind w:firstLine="284"/>
        <w:rPr>
          <w:szCs w:val="22"/>
        </w:rPr>
      </w:pPr>
      <w:r w:rsidRPr="006927D6">
        <w:rPr>
          <w:szCs w:val="22"/>
        </w:rPr>
        <w:t>2.3.1. Принять Задаток.</w:t>
      </w:r>
    </w:p>
    <w:p w:rsidR="00926858" w:rsidRPr="001345B7" w:rsidRDefault="00926858" w:rsidP="00EE5B69">
      <w:pPr>
        <w:pStyle w:val="BodyText"/>
        <w:ind w:firstLine="284"/>
        <w:rPr>
          <w:szCs w:val="22"/>
        </w:rPr>
      </w:pPr>
      <w:r w:rsidRPr="006927D6">
        <w:rPr>
          <w:szCs w:val="22"/>
        </w:rPr>
        <w:t xml:space="preserve">2.3.2. Вернуть Задаток Заявителю в </w:t>
      </w:r>
      <w:r w:rsidRPr="006927D6">
        <w:t>порядке и сроки, установленные настоящим Договором,</w:t>
      </w:r>
      <w:r w:rsidRPr="006927D6">
        <w:rPr>
          <w:szCs w:val="22"/>
        </w:rPr>
        <w:t xml:space="preserve"> в следующих случаях:</w:t>
      </w:r>
    </w:p>
    <w:p w:rsidR="00926858" w:rsidRPr="00DF27EB" w:rsidRDefault="00926858" w:rsidP="00E05B4E">
      <w:pPr>
        <w:pStyle w:val="ListParagraph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 w:rsidRPr="00DF27EB">
        <w:rPr>
          <w:color w:val="000000"/>
        </w:rPr>
        <w:t>заявитель не допущен к участию в торгах;</w:t>
      </w:r>
    </w:p>
    <w:p w:rsidR="00926858" w:rsidRPr="00DF27EB" w:rsidRDefault="00926858" w:rsidP="00E05B4E">
      <w:pPr>
        <w:pStyle w:val="ListParagraph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 w:rsidRPr="00DF27EB">
        <w:rPr>
          <w:color w:val="000000"/>
        </w:rPr>
        <w:t>заявитель отозвал заявку на участие в торгах до момента приобретения им статуса участника торгов;</w:t>
      </w:r>
    </w:p>
    <w:p w:rsidR="00926858" w:rsidRPr="00DF27EB" w:rsidRDefault="00926858" w:rsidP="00E05B4E">
      <w:pPr>
        <w:pStyle w:val="ListParagraph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 w:rsidRPr="00DF27EB">
        <w:rPr>
          <w:color w:val="000000"/>
        </w:rPr>
        <w:t>заявитель, признанный участником торгов, не стал победител</w:t>
      </w:r>
      <w:r>
        <w:rPr>
          <w:color w:val="000000"/>
        </w:rPr>
        <w:t>е</w:t>
      </w:r>
      <w:r w:rsidRPr="00DF27EB">
        <w:rPr>
          <w:color w:val="000000"/>
        </w:rPr>
        <w:t>м торгов;</w:t>
      </w:r>
    </w:p>
    <w:p w:rsidR="00926858" w:rsidRPr="00DF27EB" w:rsidRDefault="00926858" w:rsidP="00E05B4E">
      <w:pPr>
        <w:pStyle w:val="ListParagraph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 w:rsidRPr="00DF27EB">
        <w:rPr>
          <w:color w:val="000000"/>
        </w:rPr>
        <w:t>торги признаны несостоявшимися</w:t>
      </w:r>
      <w:r>
        <w:rPr>
          <w:color w:val="000000"/>
        </w:rPr>
        <w:t>.</w:t>
      </w:r>
    </w:p>
    <w:p w:rsidR="00926858" w:rsidRPr="006927D6" w:rsidRDefault="00926858" w:rsidP="00EE5B69">
      <w:pPr>
        <w:pStyle w:val="BodyText"/>
        <w:ind w:firstLine="284"/>
        <w:rPr>
          <w:szCs w:val="22"/>
        </w:rPr>
      </w:pPr>
      <w:r w:rsidRPr="006927D6">
        <w:rPr>
          <w:szCs w:val="22"/>
        </w:rPr>
        <w:t>2.4. Должник не возвращает Задаток Заявителю в следующих случаях:</w:t>
      </w:r>
    </w:p>
    <w:p w:rsidR="00926858" w:rsidRPr="00DF27EB" w:rsidRDefault="00926858" w:rsidP="00E05B4E">
      <w:pPr>
        <w:pStyle w:val="ListParagraph"/>
        <w:numPr>
          <w:ilvl w:val="0"/>
          <w:numId w:val="19"/>
        </w:num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 w:rsidRPr="00DF27EB">
        <w:rPr>
          <w:color w:val="000000"/>
        </w:rPr>
        <w:t>не подпишет в де</w:t>
      </w:r>
      <w:r>
        <w:rPr>
          <w:color w:val="000000"/>
        </w:rPr>
        <w:t>нь проведения торгов протокол о</w:t>
      </w:r>
      <w:r w:rsidRPr="00DF27EB">
        <w:rPr>
          <w:color w:val="000000"/>
        </w:rPr>
        <w:t xml:space="preserve"> итогах торгов или договор </w:t>
      </w:r>
      <w:r>
        <w:rPr>
          <w:color w:val="000000"/>
        </w:rPr>
        <w:t>купли-продажи имущества</w:t>
      </w:r>
      <w:r w:rsidRPr="00DF27EB">
        <w:rPr>
          <w:color w:val="000000"/>
        </w:rPr>
        <w:t>, в срок установленный настоящим Положением.</w:t>
      </w:r>
    </w:p>
    <w:p w:rsidR="00926858" w:rsidRPr="00DF27EB" w:rsidRDefault="00926858" w:rsidP="00E05B4E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DF27EB">
        <w:rPr>
          <w:color w:val="000000"/>
        </w:rPr>
        <w:t>не оплатит лот в срок, установленный подписанным протоколом об итогах торгов или договором</w:t>
      </w:r>
      <w:r>
        <w:rPr>
          <w:color w:val="000000"/>
        </w:rPr>
        <w:t xml:space="preserve"> купли-продажи имущества</w:t>
      </w:r>
      <w:r w:rsidRPr="00DF27EB">
        <w:rPr>
          <w:color w:val="000000"/>
        </w:rPr>
        <w:t>.</w:t>
      </w:r>
    </w:p>
    <w:p w:rsidR="00926858" w:rsidRPr="006927D6" w:rsidRDefault="00926858" w:rsidP="00EE5B69">
      <w:pPr>
        <w:pStyle w:val="BodyText"/>
        <w:jc w:val="center"/>
        <w:rPr>
          <w:b/>
          <w:szCs w:val="22"/>
        </w:rPr>
      </w:pPr>
      <w:r w:rsidRPr="006927D6">
        <w:rPr>
          <w:b/>
          <w:szCs w:val="22"/>
        </w:rPr>
        <w:t>3. Размер Задатка. Порядок расчетов по настоящему Соглашению.</w:t>
      </w:r>
    </w:p>
    <w:p w:rsidR="00926858" w:rsidRPr="006927D6" w:rsidRDefault="00926858" w:rsidP="00EE5B69">
      <w:pPr>
        <w:pStyle w:val="BodyText"/>
        <w:ind w:firstLine="284"/>
        <w:rPr>
          <w:szCs w:val="22"/>
        </w:rPr>
      </w:pPr>
      <w:r w:rsidRPr="006927D6">
        <w:rPr>
          <w:szCs w:val="22"/>
        </w:rPr>
        <w:t>3.1. Размер Задатка указан в п. 1.2 настоящего Соглашения.</w:t>
      </w:r>
    </w:p>
    <w:p w:rsidR="00926858" w:rsidRPr="006927D6" w:rsidRDefault="00926858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3.2. Оплата Задатка производится:</w:t>
      </w:r>
    </w:p>
    <w:p w:rsidR="00926858" w:rsidRPr="006927D6" w:rsidRDefault="00926858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 xml:space="preserve">в безналичном порядке в форме платежных поручений путем перечисления денежных средств на расчетный счет </w:t>
      </w:r>
      <w:r>
        <w:rPr>
          <w:szCs w:val="22"/>
        </w:rPr>
        <w:t>Организатора торгов</w:t>
      </w:r>
      <w:r w:rsidRPr="006927D6">
        <w:rPr>
          <w:szCs w:val="22"/>
        </w:rPr>
        <w:t>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926858" w:rsidRPr="006927D6" w:rsidRDefault="00926858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926858" w:rsidRDefault="00926858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следующими платежами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6"/>
      </w:tblGrid>
      <w:tr w:rsidR="00926858" w:rsidRPr="006927D6" w:rsidTr="002B6E79">
        <w:trPr>
          <w:cantSplit/>
        </w:trPr>
        <w:tc>
          <w:tcPr>
            <w:tcW w:w="3085" w:type="dxa"/>
          </w:tcPr>
          <w:p w:rsidR="00926858" w:rsidRPr="006927D6" w:rsidRDefault="00926858" w:rsidP="002B6E79">
            <w:pPr>
              <w:pStyle w:val="Heading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:rsidR="00926858" w:rsidRPr="006927D6" w:rsidRDefault="00926858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926858" w:rsidRPr="006927D6" w:rsidTr="002B6E79">
        <w:trPr>
          <w:cantSplit/>
        </w:trPr>
        <w:tc>
          <w:tcPr>
            <w:tcW w:w="3085" w:type="dxa"/>
          </w:tcPr>
          <w:p w:rsidR="00926858" w:rsidRPr="006927D6" w:rsidRDefault="00926858" w:rsidP="0041718B">
            <w:pPr>
              <w:pStyle w:val="BodyText"/>
            </w:pPr>
            <w:r>
              <w:t>10</w:t>
            </w:r>
            <w:r w:rsidRPr="006927D6">
              <w:t xml:space="preserve">% </w:t>
            </w:r>
            <w:r w:rsidRPr="0041718B">
              <w:t xml:space="preserve">от начальной цены продажи </w:t>
            </w:r>
            <w:r>
              <w:t>л</w:t>
            </w:r>
            <w:r w:rsidRPr="006927D6">
              <w:t>ота</w:t>
            </w:r>
          </w:p>
        </w:tc>
        <w:tc>
          <w:tcPr>
            <w:tcW w:w="6946" w:type="dxa"/>
          </w:tcPr>
          <w:p w:rsidR="00926858" w:rsidRPr="006927D6" w:rsidRDefault="00926858" w:rsidP="00A47995">
            <w:pPr>
              <w:jc w:val="both"/>
              <w:rPr>
                <w:highlight w:val="yellow"/>
              </w:rPr>
            </w:pPr>
            <w:r w:rsidRPr="006927D6">
              <w:t xml:space="preserve">в течение 25 (двадцати пяти) рабочих дней с момента опубликования сообщения о торгах на электронной площадке </w:t>
            </w:r>
            <w:r>
              <w:t>ОАО «Российский</w:t>
            </w:r>
            <w:r w:rsidRPr="00A47995">
              <w:t xml:space="preserve"> а</w:t>
            </w:r>
            <w:r>
              <w:t>укционный дом»</w:t>
            </w:r>
            <w:hyperlink r:id="rId7" w:history="1">
              <w:r w:rsidRPr="0062708A">
                <w:rPr>
                  <w:rStyle w:val="Hyperlink"/>
                </w:rPr>
                <w:t>http://www.lot-online.ru</w:t>
              </w:r>
            </w:hyperlink>
          </w:p>
        </w:tc>
      </w:tr>
    </w:tbl>
    <w:p w:rsidR="00926858" w:rsidRPr="006927D6" w:rsidRDefault="00926858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3.3. Возврат Задатка производится:</w:t>
      </w:r>
    </w:p>
    <w:p w:rsidR="00926858" w:rsidRPr="006927D6" w:rsidRDefault="00926858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безналичном порядке в форме платежных поручений путем перечисления денежных средств на расчетный счет Заявителя,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926858" w:rsidRPr="006927D6" w:rsidRDefault="00926858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926858" w:rsidRPr="006927D6" w:rsidRDefault="00926858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следующих случаях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6"/>
      </w:tblGrid>
      <w:tr w:rsidR="00926858" w:rsidRPr="006927D6" w:rsidTr="002B6E79">
        <w:trPr>
          <w:cantSplit/>
        </w:trPr>
        <w:tc>
          <w:tcPr>
            <w:tcW w:w="3085" w:type="dxa"/>
          </w:tcPr>
          <w:p w:rsidR="00926858" w:rsidRPr="006927D6" w:rsidRDefault="00926858" w:rsidP="002B6E79">
            <w:pPr>
              <w:pStyle w:val="Heading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:rsidR="00926858" w:rsidRPr="006927D6" w:rsidRDefault="00926858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926858" w:rsidRPr="006927D6" w:rsidTr="002B6E79">
        <w:trPr>
          <w:cantSplit/>
        </w:trPr>
        <w:tc>
          <w:tcPr>
            <w:tcW w:w="3085" w:type="dxa"/>
          </w:tcPr>
          <w:p w:rsidR="00926858" w:rsidRPr="006927D6" w:rsidRDefault="00926858" w:rsidP="0041718B">
            <w:pPr>
              <w:pStyle w:val="BodyText"/>
            </w:pPr>
            <w:r>
              <w:t xml:space="preserve">10% </w:t>
            </w:r>
            <w:r w:rsidRPr="0041718B">
              <w:t xml:space="preserve">от начальной цены продажи </w:t>
            </w:r>
            <w:r>
              <w:t>л</w:t>
            </w:r>
            <w:r w:rsidRPr="006927D6">
              <w:t>ота</w:t>
            </w:r>
          </w:p>
        </w:tc>
        <w:tc>
          <w:tcPr>
            <w:tcW w:w="6946" w:type="dxa"/>
          </w:tcPr>
          <w:p w:rsidR="00926858" w:rsidRPr="00A07C20" w:rsidRDefault="00926858" w:rsidP="002B6E79">
            <w:pPr>
              <w:jc w:val="both"/>
            </w:pPr>
            <w:r w:rsidRPr="00A07C20">
              <w:t>в течение 5 (пяти) календарных дней с момента наступления события, предусмотренного настоящим Соглашением для возврата Задатка.</w:t>
            </w:r>
          </w:p>
        </w:tc>
      </w:tr>
    </w:tbl>
    <w:p w:rsidR="00926858" w:rsidRPr="006927D6" w:rsidRDefault="00926858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4. Срок действия настоящего Соглашения.</w:t>
      </w:r>
    </w:p>
    <w:p w:rsidR="00926858" w:rsidRPr="006927D6" w:rsidRDefault="00926858" w:rsidP="009D5A82">
      <w:pPr>
        <w:jc w:val="both"/>
        <w:rPr>
          <w:szCs w:val="22"/>
        </w:rPr>
      </w:pPr>
      <w:r w:rsidRPr="006927D6">
        <w:rPr>
          <w:szCs w:val="22"/>
        </w:rPr>
        <w:t>4.1. Настоящее Соглашение вступает в силу с момента его заключения, то есть с момента его подписания уполномоченными органами (представителями) Сторон.</w:t>
      </w:r>
    </w:p>
    <w:p w:rsidR="00926858" w:rsidRPr="006927D6" w:rsidRDefault="00926858" w:rsidP="009D5A82">
      <w:pPr>
        <w:jc w:val="both"/>
        <w:rPr>
          <w:szCs w:val="22"/>
        </w:rPr>
      </w:pPr>
      <w:r w:rsidRPr="006927D6">
        <w:rPr>
          <w:szCs w:val="22"/>
        </w:rPr>
        <w:t>4.2. Настоящее Соглашение действует до полного надлежащего исполнения Сторонами всех своих обязательств, установленных настоящим Договором.</w:t>
      </w:r>
    </w:p>
    <w:p w:rsidR="00926858" w:rsidRPr="006927D6" w:rsidRDefault="00926858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5. Заключительные положения.</w:t>
      </w:r>
    </w:p>
    <w:p w:rsidR="00926858" w:rsidRPr="006927D6" w:rsidRDefault="00926858" w:rsidP="009D5A82">
      <w:pPr>
        <w:jc w:val="both"/>
      </w:pPr>
      <w:r w:rsidRPr="006927D6">
        <w:rPr>
          <w:szCs w:val="22"/>
        </w:rPr>
        <w:t>5.1. При заключении настоящего Соглашения Стороны руководствовались законодательством</w:t>
      </w:r>
      <w:r w:rsidRPr="006927D6">
        <w:t xml:space="preserve"> Российской Федерации. Отношения между Сторонами, неурегулированные настоящим Соглашением, регулируются действующим законодательством Российской Федерации.</w:t>
      </w:r>
    </w:p>
    <w:p w:rsidR="00926858" w:rsidRPr="006927D6" w:rsidRDefault="00926858" w:rsidP="009D5A82">
      <w:pPr>
        <w:pStyle w:val="BodyTextIndent"/>
        <w:ind w:firstLine="0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5.2. Любые изменения и дополнения к настоящему Соглашению действительны лишь при условии, что они совершены в письменной форме в виде дополнительного соглашения, являющегося неотъемлемой частью настоящего Соглашения, подписаны уполномоченными органами (пре</w:t>
      </w:r>
      <w:r>
        <w:rPr>
          <w:rFonts w:ascii="Times New Roman" w:hAnsi="Times New Roman"/>
          <w:sz w:val="20"/>
        </w:rPr>
        <w:t>дставителями) Сторон</w:t>
      </w:r>
      <w:r w:rsidRPr="006927D6">
        <w:rPr>
          <w:rFonts w:ascii="Times New Roman" w:hAnsi="Times New Roman"/>
          <w:sz w:val="20"/>
        </w:rPr>
        <w:t>.</w:t>
      </w:r>
    </w:p>
    <w:p w:rsidR="00926858" w:rsidRPr="006927D6" w:rsidRDefault="00926858" w:rsidP="009D5A82">
      <w:pPr>
        <w:jc w:val="both"/>
      </w:pPr>
      <w:r w:rsidRPr="006927D6">
        <w:t>5.3. Приложения к настоящему Соглашению являются его неотъемлемыми частями. Приложениями к настоящему Соглашению являются любые документы, подписанные Сторонами, в которых содержится ссылка на настоящее Соглашение.</w:t>
      </w:r>
    </w:p>
    <w:p w:rsidR="00926858" w:rsidRPr="006927D6" w:rsidRDefault="00926858" w:rsidP="00160769">
      <w:pPr>
        <w:pStyle w:val="BodyText2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5.4. Настоящее Соглашение составлено в 2 (двух) подлинных экземплярах на русском языке, имею</w:t>
      </w:r>
      <w:r>
        <w:rPr>
          <w:rFonts w:ascii="Times New Roman" w:hAnsi="Times New Roman"/>
          <w:sz w:val="20"/>
        </w:rPr>
        <w:t>щих одинаковую юридическую силу</w:t>
      </w:r>
      <w:r w:rsidRPr="006927D6">
        <w:rPr>
          <w:rFonts w:ascii="Times New Roman" w:hAnsi="Times New Roman"/>
          <w:sz w:val="20"/>
        </w:rPr>
        <w:t>.</w:t>
      </w:r>
    </w:p>
    <w:p w:rsidR="00926858" w:rsidRPr="006927D6" w:rsidRDefault="00926858" w:rsidP="00EE5B69">
      <w:pPr>
        <w:pStyle w:val="BodyText3"/>
        <w:rPr>
          <w:sz w:val="16"/>
          <w:szCs w:val="16"/>
        </w:rPr>
      </w:pPr>
    </w:p>
    <w:p w:rsidR="00926858" w:rsidRPr="006927D6" w:rsidRDefault="00926858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088" w:type="dxa"/>
            <w:gridSpan w:val="3"/>
          </w:tcPr>
          <w:p w:rsidR="00926858" w:rsidRPr="00812ED8" w:rsidRDefault="00926858" w:rsidP="00542463">
            <w:pPr>
              <w:jc w:val="both"/>
            </w:pPr>
            <w:r>
              <w:t>ЗА</w:t>
            </w:r>
            <w:r w:rsidRPr="00812ED8">
              <w:t>О "</w:t>
            </w:r>
            <w:r>
              <w:t>Альфа Моторс</w:t>
            </w:r>
            <w:r w:rsidRPr="00812ED8">
              <w:t>"</w:t>
            </w: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BalloonText"/>
              <w:jc w:val="both"/>
              <w:rPr>
                <w:rFonts w:ascii="Times New Roman" w:hAnsi="Times New Roman" w:cs="Times New Roman"/>
                <w:sz w:val="20"/>
              </w:rPr>
            </w:pPr>
            <w:r w:rsidRPr="006927D6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7088" w:type="dxa"/>
            <w:gridSpan w:val="3"/>
          </w:tcPr>
          <w:p w:rsidR="00926858" w:rsidRPr="00812ED8" w:rsidRDefault="00926858" w:rsidP="00542463">
            <w:pPr>
              <w:jc w:val="both"/>
            </w:pPr>
            <w:smartTag w:uri="urn:schemas-microsoft-com:office:smarttags" w:element="metricconverter">
              <w:smartTagPr>
                <w:attr w:name="ProductID" w:val="620026, г"/>
              </w:smartTagPr>
              <w:r w:rsidRPr="00812ED8">
                <w:t>62</w:t>
              </w:r>
              <w:r>
                <w:t>0026,</w:t>
              </w:r>
              <w:r w:rsidRPr="00812ED8">
                <w:t xml:space="preserve"> г</w:t>
              </w:r>
            </w:smartTag>
            <w:r w:rsidRPr="00812ED8">
              <w:t xml:space="preserve">. </w:t>
            </w:r>
            <w:r>
              <w:t>Екатеринбург</w:t>
            </w:r>
            <w:r w:rsidRPr="00812ED8">
              <w:t xml:space="preserve">, ул. </w:t>
            </w:r>
            <w:r>
              <w:t>Белинского/ул. Куйбышева</w:t>
            </w:r>
            <w:r w:rsidRPr="00812ED8">
              <w:t xml:space="preserve">, </w:t>
            </w:r>
            <w:r>
              <w:t>71/83 а</w:t>
            </w:r>
          </w:p>
        </w:tc>
      </w:tr>
      <w:tr w:rsidR="00926858" w:rsidRPr="006927D6" w:rsidTr="002B6E79">
        <w:tc>
          <w:tcPr>
            <w:tcW w:w="2835" w:type="dxa"/>
          </w:tcPr>
          <w:p w:rsidR="00926858" w:rsidRPr="00DF27EB" w:rsidRDefault="00926858" w:rsidP="002B6E79">
            <w:pPr>
              <w:pStyle w:val="Balloo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почтовый адрес, адрес эл. почты:</w:t>
            </w:r>
          </w:p>
        </w:tc>
        <w:tc>
          <w:tcPr>
            <w:tcW w:w="7088" w:type="dxa"/>
            <w:gridSpan w:val="3"/>
          </w:tcPr>
          <w:p w:rsidR="00926858" w:rsidRPr="00542463" w:rsidRDefault="00926858" w:rsidP="00542463">
            <w:pPr>
              <w:jc w:val="both"/>
            </w:pPr>
            <w:smartTag w:uri="urn:schemas-microsoft-com:office:smarttags" w:element="metricconverter">
              <w:smartTagPr>
                <w:attr w:name="ProductID" w:val="620072, г"/>
              </w:smartTagPr>
              <w:r w:rsidRPr="00812ED8">
                <w:t>62007</w:t>
              </w:r>
              <w:r>
                <w:t>2</w:t>
              </w:r>
              <w:r w:rsidRPr="00812ED8">
                <w:t>, г</w:t>
              </w:r>
            </w:smartTag>
            <w:r w:rsidRPr="00812ED8">
              <w:t xml:space="preserve">. Екатеринбург, </w:t>
            </w:r>
            <w:r>
              <w:t xml:space="preserve">а/я 7, </w:t>
            </w:r>
            <w:hyperlink r:id="rId8" w:history="1">
              <w:r w:rsidRPr="0062708A">
                <w:rPr>
                  <w:rStyle w:val="Hyperlink"/>
                  <w:lang w:val="en-US"/>
                </w:rPr>
                <w:t>panshina</w:t>
              </w:r>
              <w:r w:rsidRPr="0062708A">
                <w:rPr>
                  <w:rStyle w:val="Hyperlink"/>
                </w:rPr>
                <w:t>.</w:t>
              </w:r>
              <w:r w:rsidRPr="0062708A">
                <w:rPr>
                  <w:rStyle w:val="Hyperlink"/>
                  <w:lang w:val="en-US"/>
                </w:rPr>
                <w:t>lena</w:t>
              </w:r>
              <w:r w:rsidRPr="0062708A">
                <w:rPr>
                  <w:rStyle w:val="Hyperlink"/>
                </w:rPr>
                <w:t>@gmail.com</w:t>
              </w:r>
            </w:hyperlink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926858" w:rsidRPr="00812ED8" w:rsidRDefault="00926858" w:rsidP="00542463">
            <w:pPr>
              <w:jc w:val="both"/>
            </w:pPr>
            <w:r>
              <w:rPr>
                <w:lang w:val="en-US"/>
              </w:rPr>
              <w:t>6658120971</w:t>
            </w:r>
            <w:r w:rsidRPr="00812ED8">
              <w:t>/66</w:t>
            </w:r>
            <w:r>
              <w:rPr>
                <w:lang w:val="en-US"/>
              </w:rPr>
              <w:t>72</w:t>
            </w:r>
            <w:r w:rsidRPr="00812ED8">
              <w:t>01001</w:t>
            </w: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926858" w:rsidRPr="00812ED8" w:rsidRDefault="00926858" w:rsidP="002B6E79">
            <w:pPr>
              <w:jc w:val="both"/>
            </w:pPr>
            <w:r>
              <w:t xml:space="preserve">40702810500250013376 в </w:t>
            </w:r>
            <w:r w:rsidRPr="00542463">
              <w:t>Банк</w:t>
            </w:r>
            <w:r>
              <w:t xml:space="preserve"> «НЕЙВА»</w:t>
            </w:r>
            <w:r w:rsidRPr="00542463">
              <w:t xml:space="preserve"> (О</w:t>
            </w:r>
            <w:r>
              <w:t>О</w:t>
            </w:r>
            <w:r w:rsidRPr="00542463">
              <w:t>О) г. Екатеринбург</w:t>
            </w: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926858" w:rsidRPr="00812ED8" w:rsidRDefault="00926858" w:rsidP="002B6E79">
            <w:pPr>
              <w:jc w:val="both"/>
            </w:pPr>
            <w:r w:rsidRPr="00542463">
              <w:t>301018</w:t>
            </w:r>
            <w:r>
              <w:t>10400000000774</w:t>
            </w:r>
          </w:p>
        </w:tc>
        <w:tc>
          <w:tcPr>
            <w:tcW w:w="1417" w:type="dxa"/>
          </w:tcPr>
          <w:p w:rsidR="00926858" w:rsidRPr="00812ED8" w:rsidRDefault="00926858" w:rsidP="002B6E79">
            <w:pPr>
              <w:jc w:val="both"/>
            </w:pPr>
            <w:r w:rsidRPr="00812ED8">
              <w:t>БИК</w:t>
            </w:r>
          </w:p>
        </w:tc>
        <w:tc>
          <w:tcPr>
            <w:tcW w:w="2836" w:type="dxa"/>
          </w:tcPr>
          <w:p w:rsidR="00926858" w:rsidRPr="00812ED8" w:rsidRDefault="00926858" w:rsidP="002B6E79">
            <w:pPr>
              <w:jc w:val="both"/>
            </w:pPr>
            <w:r>
              <w:t>046577774</w:t>
            </w: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926858" w:rsidRPr="00542463" w:rsidRDefault="00926858" w:rsidP="002B6E79">
            <w:pPr>
              <w:jc w:val="both"/>
            </w:pPr>
            <w:r>
              <w:t>Конкурсного управляющего Паньшиной Е.П.</w:t>
            </w: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Heading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926858" w:rsidRPr="006927D6" w:rsidRDefault="00926858" w:rsidP="002B6E79">
            <w:pPr>
              <w:rPr>
                <w:szCs w:val="22"/>
              </w:rPr>
            </w:pPr>
          </w:p>
        </w:tc>
      </w:tr>
    </w:tbl>
    <w:p w:rsidR="00926858" w:rsidRPr="006927D6" w:rsidRDefault="00926858" w:rsidP="00EE5B69">
      <w:pPr>
        <w:jc w:val="center"/>
      </w:pPr>
      <w:r w:rsidRPr="006927D6">
        <w:t>м.п.</w:t>
      </w:r>
    </w:p>
    <w:p w:rsidR="00926858" w:rsidRPr="006927D6" w:rsidRDefault="00926858" w:rsidP="00EE5B69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FootnoteText"/>
              <w:jc w:val="both"/>
            </w:pPr>
            <w:r w:rsidRPr="006927D6">
              <w:t>место нахождения: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FootnoteText"/>
              <w:jc w:val="both"/>
            </w:pPr>
            <w:r w:rsidRPr="006927D6">
              <w:t>почтовый адрес: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907D47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FootnoteText"/>
              <w:jc w:val="both"/>
            </w:pPr>
            <w:r w:rsidRPr="006927D6">
              <w:t xml:space="preserve">телефон, факс, адрес эл. </w:t>
            </w:r>
            <w:r>
              <w:t>п</w:t>
            </w:r>
            <w:r w:rsidRPr="006927D6">
              <w:t>очты</w:t>
            </w:r>
            <w:r>
              <w:t>:</w:t>
            </w:r>
          </w:p>
        </w:tc>
        <w:tc>
          <w:tcPr>
            <w:tcW w:w="7088" w:type="dxa"/>
            <w:gridSpan w:val="3"/>
          </w:tcPr>
          <w:p w:rsidR="00926858" w:rsidRPr="009A36D5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jc w:val="both"/>
            </w:pPr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jc w:val="both"/>
            </w:pPr>
            <w:r>
              <w:t xml:space="preserve">паспорт </w:t>
            </w:r>
            <w:r w:rsidRPr="006927D6">
              <w:rPr>
                <w:sz w:val="16"/>
                <w:szCs w:val="16"/>
              </w:rPr>
              <w:t>(для физ. лиц)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jc w:val="both"/>
            </w:pPr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  <w:tc>
          <w:tcPr>
            <w:tcW w:w="1417" w:type="dxa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  <w:r w:rsidRPr="00160769">
              <w:rPr>
                <w:szCs w:val="22"/>
              </w:rPr>
              <w:t>БИК</w:t>
            </w:r>
          </w:p>
        </w:tc>
        <w:tc>
          <w:tcPr>
            <w:tcW w:w="2836" w:type="dxa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jc w:val="both"/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</w:pPr>
          </w:p>
        </w:tc>
      </w:tr>
      <w:tr w:rsidR="00926858" w:rsidRPr="006927D6" w:rsidTr="002B6E79">
        <w:tc>
          <w:tcPr>
            <w:tcW w:w="2835" w:type="dxa"/>
          </w:tcPr>
          <w:p w:rsidR="00926858" w:rsidRPr="006927D6" w:rsidRDefault="00926858" w:rsidP="002B6E79">
            <w:pPr>
              <w:pStyle w:val="Heading4"/>
              <w:jc w:val="both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926858" w:rsidRPr="00160769" w:rsidRDefault="00926858" w:rsidP="002B6E79">
            <w:pPr>
              <w:jc w:val="both"/>
              <w:rPr>
                <w:szCs w:val="22"/>
              </w:rPr>
            </w:pPr>
          </w:p>
        </w:tc>
      </w:tr>
    </w:tbl>
    <w:p w:rsidR="00926858" w:rsidRPr="006927D6" w:rsidRDefault="00926858" w:rsidP="00EE5B69">
      <w:pPr>
        <w:jc w:val="center"/>
      </w:pPr>
      <w:r w:rsidRPr="006927D6">
        <w:t>м.п.</w:t>
      </w:r>
    </w:p>
    <w:p w:rsidR="00926858" w:rsidRPr="00EE5B69" w:rsidRDefault="00926858" w:rsidP="00EE5B69"/>
    <w:sectPr w:rsidR="00926858" w:rsidRPr="00EE5B69" w:rsidSect="006D3B36">
      <w:footerReference w:type="even" r:id="rId9"/>
      <w:footerReference w:type="default" r:id="rId10"/>
      <w:pgSz w:w="11906" w:h="16838"/>
      <w:pgMar w:top="624" w:right="567" w:bottom="62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58" w:rsidRDefault="00926858">
      <w:r>
        <w:separator/>
      </w:r>
    </w:p>
  </w:endnote>
  <w:endnote w:type="continuationSeparator" w:id="1">
    <w:p w:rsidR="00926858" w:rsidRDefault="0092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58" w:rsidRDefault="009268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858" w:rsidRDefault="009268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58" w:rsidRDefault="00926858">
    <w:pPr>
      <w:pStyle w:val="Footer"/>
      <w:framePr w:wrap="around" w:vAnchor="text" w:hAnchor="margin" w:xAlign="center" w:y="1"/>
      <w:rPr>
        <w:rStyle w:val="PageNumber"/>
      </w:rPr>
    </w:pPr>
  </w:p>
  <w:p w:rsidR="00926858" w:rsidRDefault="00926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58" w:rsidRDefault="00926858">
      <w:r>
        <w:separator/>
      </w:r>
    </w:p>
  </w:footnote>
  <w:footnote w:type="continuationSeparator" w:id="1">
    <w:p w:rsidR="00926858" w:rsidRDefault="0092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9F"/>
    <w:multiLevelType w:val="hybridMultilevel"/>
    <w:tmpl w:val="EE18CD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1D72907"/>
    <w:multiLevelType w:val="multilevel"/>
    <w:tmpl w:val="3B42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9BC6A18"/>
    <w:multiLevelType w:val="hybridMultilevel"/>
    <w:tmpl w:val="CA4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951496"/>
    <w:multiLevelType w:val="hybridMultilevel"/>
    <w:tmpl w:val="2762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A72E79"/>
    <w:multiLevelType w:val="hybridMultilevel"/>
    <w:tmpl w:val="022C8D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9E04B7B"/>
    <w:multiLevelType w:val="hybridMultilevel"/>
    <w:tmpl w:val="C95C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A3F"/>
    <w:multiLevelType w:val="hybridMultilevel"/>
    <w:tmpl w:val="3BD0F75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0D7DFF"/>
    <w:multiLevelType w:val="hybridMultilevel"/>
    <w:tmpl w:val="8174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6C3ADA"/>
    <w:multiLevelType w:val="hybridMultilevel"/>
    <w:tmpl w:val="02C0D6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72C29FE"/>
    <w:multiLevelType w:val="hybridMultilevel"/>
    <w:tmpl w:val="3F4CA2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D9B0383"/>
    <w:multiLevelType w:val="hybridMultilevel"/>
    <w:tmpl w:val="C4E2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98"/>
    <w:rsid w:val="00010FB3"/>
    <w:rsid w:val="000408D9"/>
    <w:rsid w:val="00042559"/>
    <w:rsid w:val="000832E7"/>
    <w:rsid w:val="000C4A27"/>
    <w:rsid w:val="000E4579"/>
    <w:rsid w:val="000F1B49"/>
    <w:rsid w:val="00101362"/>
    <w:rsid w:val="00111BF8"/>
    <w:rsid w:val="001345B7"/>
    <w:rsid w:val="00160769"/>
    <w:rsid w:val="00194A4E"/>
    <w:rsid w:val="001E6E1D"/>
    <w:rsid w:val="001F5016"/>
    <w:rsid w:val="002A6920"/>
    <w:rsid w:val="002B3221"/>
    <w:rsid w:val="002B6E79"/>
    <w:rsid w:val="0041718B"/>
    <w:rsid w:val="004306D6"/>
    <w:rsid w:val="00457453"/>
    <w:rsid w:val="00466677"/>
    <w:rsid w:val="00496A3E"/>
    <w:rsid w:val="00497101"/>
    <w:rsid w:val="004D45DB"/>
    <w:rsid w:val="004F2FB1"/>
    <w:rsid w:val="004F685F"/>
    <w:rsid w:val="0051068A"/>
    <w:rsid w:val="005331BD"/>
    <w:rsid w:val="00542463"/>
    <w:rsid w:val="00573857"/>
    <w:rsid w:val="00573CFA"/>
    <w:rsid w:val="005B0ED3"/>
    <w:rsid w:val="005B1A84"/>
    <w:rsid w:val="005E15A2"/>
    <w:rsid w:val="0062708A"/>
    <w:rsid w:val="006927D6"/>
    <w:rsid w:val="006C0ADB"/>
    <w:rsid w:val="006D3B36"/>
    <w:rsid w:val="006E0B2F"/>
    <w:rsid w:val="006F26AE"/>
    <w:rsid w:val="00753E32"/>
    <w:rsid w:val="00771583"/>
    <w:rsid w:val="0077169B"/>
    <w:rsid w:val="007A3959"/>
    <w:rsid w:val="007A66DB"/>
    <w:rsid w:val="007E05F9"/>
    <w:rsid w:val="00812ED8"/>
    <w:rsid w:val="008278BD"/>
    <w:rsid w:val="008B2545"/>
    <w:rsid w:val="008E440C"/>
    <w:rsid w:val="00907D47"/>
    <w:rsid w:val="00926858"/>
    <w:rsid w:val="0093104B"/>
    <w:rsid w:val="00972F98"/>
    <w:rsid w:val="00985603"/>
    <w:rsid w:val="00992839"/>
    <w:rsid w:val="009A0FB6"/>
    <w:rsid w:val="009A36D5"/>
    <w:rsid w:val="009B7E09"/>
    <w:rsid w:val="009C69C4"/>
    <w:rsid w:val="009D5A82"/>
    <w:rsid w:val="00A07C20"/>
    <w:rsid w:val="00A47995"/>
    <w:rsid w:val="00A57F44"/>
    <w:rsid w:val="00A64B72"/>
    <w:rsid w:val="00A818B5"/>
    <w:rsid w:val="00AE3BDD"/>
    <w:rsid w:val="00B66860"/>
    <w:rsid w:val="00B90859"/>
    <w:rsid w:val="00BF2F84"/>
    <w:rsid w:val="00C27AF6"/>
    <w:rsid w:val="00C460D1"/>
    <w:rsid w:val="00C76625"/>
    <w:rsid w:val="00C8130D"/>
    <w:rsid w:val="00C92EE9"/>
    <w:rsid w:val="00D72435"/>
    <w:rsid w:val="00DF27EB"/>
    <w:rsid w:val="00E05B4E"/>
    <w:rsid w:val="00EB4432"/>
    <w:rsid w:val="00EE5B69"/>
    <w:rsid w:val="00F11A9A"/>
    <w:rsid w:val="00F336E3"/>
    <w:rsid w:val="00F4695B"/>
    <w:rsid w:val="00F76728"/>
    <w:rsid w:val="00FD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D3B3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B36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B36"/>
    <w:pPr>
      <w:keepNext/>
      <w:outlineLvl w:val="1"/>
    </w:pPr>
    <w:rPr>
      <w:rFonts w:ascii="Garamond" w:hAnsi="Garamond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B3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3B36"/>
    <w:pPr>
      <w:keepNext/>
      <w:outlineLvl w:val="3"/>
    </w:pPr>
    <w:rPr>
      <w:rFonts w:ascii="Garamond" w:hAnsi="Garamond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8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08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08D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08D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08D9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D3B3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408D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3B3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08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3B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8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D3B36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D3B36"/>
    <w:pPr>
      <w:jc w:val="both"/>
    </w:pPr>
    <w:rPr>
      <w:rFonts w:ascii="Garamond" w:hAnsi="Garamond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08D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D3B36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408D9"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D3B3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08D9"/>
    <w:rPr>
      <w:rFonts w:cs="Times New Roman"/>
      <w:sz w:val="2"/>
    </w:rPr>
  </w:style>
  <w:style w:type="paragraph" w:customStyle="1" w:styleId="ConsNonformat">
    <w:name w:val="ConsNonformat"/>
    <w:uiPriority w:val="99"/>
    <w:rsid w:val="006D3B36"/>
    <w:rPr>
      <w:rFonts w:ascii="Courier New" w:hAnsi="Courier New"/>
      <w:sz w:val="26"/>
      <w:szCs w:val="20"/>
    </w:rPr>
  </w:style>
  <w:style w:type="paragraph" w:styleId="Header">
    <w:name w:val="header"/>
    <w:basedOn w:val="Normal"/>
    <w:link w:val="HeaderChar"/>
    <w:uiPriority w:val="99"/>
    <w:rsid w:val="006D3B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8D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D3B36"/>
    <w:pPr>
      <w:ind w:firstLine="284"/>
      <w:jc w:val="both"/>
    </w:pPr>
    <w:rPr>
      <w:rFonts w:ascii="Garamond" w:hAnsi="Garamond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8D9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D3B3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08D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3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D9"/>
    <w:rPr>
      <w:rFonts w:cs="Times New Roman"/>
      <w:sz w:val="2"/>
    </w:rPr>
  </w:style>
  <w:style w:type="table" w:styleId="TableGrid">
    <w:name w:val="Table Grid"/>
    <w:basedOn w:val="TableNormal"/>
    <w:uiPriority w:val="99"/>
    <w:rsid w:val="00972F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27D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F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hina.le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1083</Words>
  <Characters>6175</Characters>
  <Application>Microsoft Office Outlook</Application>
  <DocSecurity>0</DocSecurity>
  <Lines>0</Lines>
  <Paragraphs>0</Paragraphs>
  <ScaleCrop>false</ScaleCrop>
  <Company>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B</dc:creator>
  <cp:keywords/>
  <dc:description/>
  <cp:lastModifiedBy>adm</cp:lastModifiedBy>
  <cp:revision>24</cp:revision>
  <cp:lastPrinted>2004-09-22T08:10:00Z</cp:lastPrinted>
  <dcterms:created xsi:type="dcterms:W3CDTF">2011-08-11T11:25:00Z</dcterms:created>
  <dcterms:modified xsi:type="dcterms:W3CDTF">2012-10-30T09:52:00Z</dcterms:modified>
</cp:coreProperties>
</file>