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D3" w:rsidRPr="00CD7C01" w:rsidRDefault="001126D3" w:rsidP="00CD7C01">
      <w:pPr>
        <w:ind w:firstLine="709"/>
        <w:jc w:val="center"/>
        <w:rPr>
          <w:b/>
          <w:sz w:val="22"/>
          <w:szCs w:val="22"/>
        </w:rPr>
      </w:pPr>
      <w:r w:rsidRPr="00CD7C01">
        <w:rPr>
          <w:b/>
          <w:sz w:val="22"/>
          <w:szCs w:val="22"/>
        </w:rPr>
        <w:t>ДОГОВОР О ЗАДАТКЕ</w:t>
      </w:r>
      <w:r w:rsidR="00FC7A1F">
        <w:rPr>
          <w:b/>
          <w:sz w:val="22"/>
          <w:szCs w:val="22"/>
        </w:rPr>
        <w:t xml:space="preserve"> </w:t>
      </w:r>
    </w:p>
    <w:p w:rsidR="00CD7C01" w:rsidRDefault="00CD7C01" w:rsidP="00CD7C01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1126D3" w:rsidRPr="00CD7C01" w:rsidRDefault="001E0146" w:rsidP="0055250A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г. Петрозаводск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5250A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A75A2" w:rsidRPr="00CD7C01">
        <w:rPr>
          <w:sz w:val="22"/>
          <w:szCs w:val="22"/>
        </w:rPr>
        <w:t>«</w:t>
      </w:r>
      <w:r w:rsidR="000C503D" w:rsidRPr="00CD7C01">
        <w:rPr>
          <w:sz w:val="22"/>
          <w:szCs w:val="22"/>
        </w:rPr>
        <w:t>__</w:t>
      </w:r>
      <w:r w:rsidR="0055250A">
        <w:rPr>
          <w:sz w:val="22"/>
          <w:szCs w:val="22"/>
        </w:rPr>
        <w:t>_</w:t>
      </w:r>
      <w:r w:rsidR="000C503D" w:rsidRPr="00CD7C01">
        <w:rPr>
          <w:sz w:val="22"/>
          <w:szCs w:val="22"/>
        </w:rPr>
        <w:t>_</w:t>
      </w:r>
      <w:r w:rsidR="00FA75A2" w:rsidRPr="00CD7C01">
        <w:rPr>
          <w:sz w:val="22"/>
          <w:szCs w:val="22"/>
        </w:rPr>
        <w:t>»</w:t>
      </w:r>
      <w:r w:rsidR="00847900" w:rsidRPr="00CD7C01">
        <w:rPr>
          <w:sz w:val="22"/>
          <w:szCs w:val="22"/>
        </w:rPr>
        <w:t xml:space="preserve"> </w:t>
      </w:r>
      <w:r w:rsidR="000C503D" w:rsidRPr="00CD7C01">
        <w:rPr>
          <w:sz w:val="22"/>
          <w:szCs w:val="22"/>
        </w:rPr>
        <w:t>______</w:t>
      </w:r>
      <w:r>
        <w:rPr>
          <w:sz w:val="22"/>
          <w:szCs w:val="22"/>
        </w:rPr>
        <w:t>______</w:t>
      </w:r>
      <w:r w:rsidR="001126D3" w:rsidRPr="00CD7C01">
        <w:rPr>
          <w:sz w:val="22"/>
          <w:szCs w:val="22"/>
        </w:rPr>
        <w:t>20</w:t>
      </w:r>
      <w:r w:rsidR="00D47556" w:rsidRPr="00CD7C01">
        <w:rPr>
          <w:sz w:val="22"/>
          <w:szCs w:val="22"/>
        </w:rPr>
        <w:t>1</w:t>
      </w:r>
      <w:r w:rsidR="00C1529D">
        <w:rPr>
          <w:sz w:val="22"/>
          <w:szCs w:val="22"/>
        </w:rPr>
        <w:t>3</w:t>
      </w:r>
      <w:r w:rsidR="008A5964">
        <w:rPr>
          <w:sz w:val="22"/>
          <w:szCs w:val="22"/>
        </w:rPr>
        <w:t xml:space="preserve"> </w:t>
      </w:r>
      <w:r w:rsidR="001126D3" w:rsidRPr="00CD7C01">
        <w:rPr>
          <w:sz w:val="22"/>
          <w:szCs w:val="22"/>
        </w:rPr>
        <w:t>г.</w:t>
      </w:r>
    </w:p>
    <w:p w:rsidR="001126D3" w:rsidRPr="00CD7C01" w:rsidRDefault="001126D3" w:rsidP="00CD7C01">
      <w:pPr>
        <w:ind w:firstLine="709"/>
        <w:jc w:val="both"/>
        <w:rPr>
          <w:sz w:val="22"/>
          <w:szCs w:val="22"/>
        </w:rPr>
      </w:pPr>
    </w:p>
    <w:p w:rsidR="001126D3" w:rsidRPr="0055250A" w:rsidRDefault="001E0146" w:rsidP="00CD7C01">
      <w:pPr>
        <w:ind w:firstLine="709"/>
        <w:jc w:val="both"/>
        <w:rPr>
          <w:sz w:val="22"/>
          <w:szCs w:val="22"/>
        </w:rPr>
      </w:pPr>
      <w:r w:rsidRPr="0055250A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69EC" w:rsidRPr="0055250A">
        <w:rPr>
          <w:sz w:val="22"/>
          <w:szCs w:val="22"/>
        </w:rPr>
        <w:t xml:space="preserve">, </w:t>
      </w:r>
      <w:r w:rsidR="001126D3" w:rsidRPr="0055250A">
        <w:rPr>
          <w:sz w:val="22"/>
          <w:szCs w:val="22"/>
        </w:rPr>
        <w:t>именуем</w:t>
      </w:r>
      <w:r w:rsidR="00FC7A1F" w:rsidRPr="0055250A">
        <w:rPr>
          <w:sz w:val="22"/>
          <w:szCs w:val="22"/>
        </w:rPr>
        <w:t>ый</w:t>
      </w:r>
      <w:r w:rsidR="001126D3" w:rsidRPr="0055250A">
        <w:rPr>
          <w:sz w:val="22"/>
          <w:szCs w:val="22"/>
        </w:rPr>
        <w:t xml:space="preserve"> в дальнейшем </w:t>
      </w:r>
      <w:r w:rsidR="001126D3" w:rsidRPr="0055250A">
        <w:rPr>
          <w:b/>
          <w:sz w:val="22"/>
          <w:szCs w:val="22"/>
        </w:rPr>
        <w:t>«</w:t>
      </w:r>
      <w:r w:rsidR="00AF0686" w:rsidRPr="0055250A">
        <w:rPr>
          <w:b/>
          <w:sz w:val="22"/>
          <w:szCs w:val="22"/>
        </w:rPr>
        <w:t>Заявитель</w:t>
      </w:r>
      <w:r w:rsidR="001126D3" w:rsidRPr="0055250A">
        <w:rPr>
          <w:b/>
          <w:sz w:val="22"/>
          <w:szCs w:val="22"/>
        </w:rPr>
        <w:t>»</w:t>
      </w:r>
      <w:r w:rsidR="001126D3" w:rsidRPr="0055250A">
        <w:rPr>
          <w:sz w:val="22"/>
          <w:szCs w:val="22"/>
        </w:rPr>
        <w:t xml:space="preserve">, </w:t>
      </w:r>
      <w:r w:rsidR="000041DC" w:rsidRPr="0055250A">
        <w:rPr>
          <w:sz w:val="22"/>
          <w:szCs w:val="22"/>
        </w:rPr>
        <w:t xml:space="preserve"> </w:t>
      </w:r>
      <w:r w:rsidR="001126D3" w:rsidRPr="0055250A">
        <w:rPr>
          <w:sz w:val="22"/>
          <w:szCs w:val="22"/>
        </w:rPr>
        <w:t xml:space="preserve">с одной стороны, и </w:t>
      </w:r>
    </w:p>
    <w:p w:rsidR="00C105B9" w:rsidRPr="0055250A" w:rsidRDefault="00CD7C01" w:rsidP="00CD7C01">
      <w:pPr>
        <w:jc w:val="both"/>
        <w:rPr>
          <w:sz w:val="22"/>
          <w:szCs w:val="22"/>
        </w:rPr>
      </w:pPr>
      <w:r w:rsidRPr="0055250A">
        <w:rPr>
          <w:b/>
          <w:sz w:val="22"/>
          <w:szCs w:val="22"/>
        </w:rPr>
        <w:t>Конкурсный управляющий</w:t>
      </w:r>
      <w:r w:rsidR="006F1CC0">
        <w:rPr>
          <w:b/>
          <w:sz w:val="22"/>
          <w:szCs w:val="22"/>
        </w:rPr>
        <w:t xml:space="preserve"> ФГУП ОПХ «</w:t>
      </w:r>
      <w:proofErr w:type="spellStart"/>
      <w:r w:rsidR="006F1CC0">
        <w:rPr>
          <w:b/>
          <w:sz w:val="22"/>
          <w:szCs w:val="22"/>
        </w:rPr>
        <w:t>Вилга</w:t>
      </w:r>
      <w:proofErr w:type="spellEnd"/>
      <w:r w:rsidR="006F1CC0">
        <w:rPr>
          <w:b/>
          <w:sz w:val="22"/>
          <w:szCs w:val="22"/>
        </w:rPr>
        <w:t xml:space="preserve">» </w:t>
      </w:r>
      <w:proofErr w:type="spellStart"/>
      <w:r w:rsidR="00C1529D">
        <w:rPr>
          <w:b/>
          <w:sz w:val="22"/>
          <w:szCs w:val="22"/>
        </w:rPr>
        <w:t>Тюрлик</w:t>
      </w:r>
      <w:proofErr w:type="spellEnd"/>
      <w:r w:rsidR="00626931">
        <w:rPr>
          <w:b/>
          <w:sz w:val="22"/>
          <w:szCs w:val="22"/>
        </w:rPr>
        <w:t xml:space="preserve"> В.В.</w:t>
      </w:r>
      <w:r w:rsidRPr="0055250A">
        <w:rPr>
          <w:sz w:val="22"/>
          <w:szCs w:val="22"/>
        </w:rPr>
        <w:t>, именуемый</w:t>
      </w:r>
      <w:r w:rsidRPr="0055250A">
        <w:rPr>
          <w:b/>
          <w:sz w:val="22"/>
          <w:szCs w:val="22"/>
        </w:rPr>
        <w:t xml:space="preserve"> </w:t>
      </w:r>
      <w:r w:rsidR="001E0146" w:rsidRPr="0055250A">
        <w:rPr>
          <w:sz w:val="22"/>
          <w:szCs w:val="22"/>
        </w:rPr>
        <w:t>в дальнейшем</w:t>
      </w:r>
      <w:r w:rsidR="001E0146" w:rsidRPr="0055250A">
        <w:rPr>
          <w:b/>
          <w:sz w:val="22"/>
          <w:szCs w:val="22"/>
        </w:rPr>
        <w:t xml:space="preserve"> </w:t>
      </w:r>
      <w:r w:rsidR="00F75C1E" w:rsidRPr="0055250A">
        <w:rPr>
          <w:sz w:val="22"/>
          <w:szCs w:val="22"/>
        </w:rPr>
        <w:t>«</w:t>
      </w:r>
      <w:r w:rsidR="00F75C1E" w:rsidRPr="0055250A">
        <w:rPr>
          <w:b/>
          <w:sz w:val="22"/>
          <w:szCs w:val="22"/>
        </w:rPr>
        <w:t>Организатор торгов</w:t>
      </w:r>
      <w:r w:rsidR="00F75C1E" w:rsidRPr="0055250A">
        <w:rPr>
          <w:sz w:val="22"/>
          <w:szCs w:val="22"/>
        </w:rPr>
        <w:t xml:space="preserve">», </w:t>
      </w:r>
      <w:r w:rsidR="008A5964">
        <w:rPr>
          <w:sz w:val="22"/>
          <w:szCs w:val="22"/>
        </w:rPr>
        <w:t>действующий</w:t>
      </w:r>
      <w:r w:rsidR="00ED0499" w:rsidRPr="004D47B7">
        <w:rPr>
          <w:sz w:val="22"/>
          <w:szCs w:val="22"/>
        </w:rPr>
        <w:t xml:space="preserve"> на основании</w:t>
      </w:r>
      <w:r w:rsidR="008A5964">
        <w:rPr>
          <w:sz w:val="22"/>
          <w:szCs w:val="22"/>
        </w:rPr>
        <w:t>:</w:t>
      </w:r>
      <w:r w:rsidR="00ED0499" w:rsidRPr="004D47B7">
        <w:rPr>
          <w:sz w:val="22"/>
          <w:szCs w:val="22"/>
        </w:rPr>
        <w:t xml:space="preserve"> </w:t>
      </w:r>
      <w:proofErr w:type="gramStart"/>
      <w:r w:rsidR="00ED0499" w:rsidRPr="004D47B7">
        <w:rPr>
          <w:sz w:val="22"/>
          <w:szCs w:val="22"/>
        </w:rPr>
        <w:t>Решения Арбитражного суда Республики</w:t>
      </w:r>
      <w:r w:rsidR="00ED0499">
        <w:rPr>
          <w:sz w:val="22"/>
          <w:szCs w:val="22"/>
        </w:rPr>
        <w:t xml:space="preserve"> Карелия от 26.11.2009, Определения </w:t>
      </w:r>
      <w:r w:rsidR="00ED0499" w:rsidRPr="004D47B7">
        <w:rPr>
          <w:sz w:val="22"/>
          <w:szCs w:val="22"/>
        </w:rPr>
        <w:t>Арбит</w:t>
      </w:r>
      <w:r w:rsidR="00ED0499">
        <w:rPr>
          <w:sz w:val="22"/>
          <w:szCs w:val="22"/>
        </w:rPr>
        <w:t xml:space="preserve">ражного суда Республики Карелия от 26.05.2010, Определения </w:t>
      </w:r>
      <w:r w:rsidR="00ED0499" w:rsidRPr="004D47B7">
        <w:rPr>
          <w:sz w:val="22"/>
          <w:szCs w:val="22"/>
        </w:rPr>
        <w:t>Арбит</w:t>
      </w:r>
      <w:r w:rsidR="00ED0499">
        <w:rPr>
          <w:sz w:val="22"/>
          <w:szCs w:val="22"/>
        </w:rPr>
        <w:t xml:space="preserve">ражного суда Республики Карелия от 24.11.2010, Определения </w:t>
      </w:r>
      <w:r w:rsidR="00ED0499" w:rsidRPr="004D47B7">
        <w:rPr>
          <w:sz w:val="22"/>
          <w:szCs w:val="22"/>
        </w:rPr>
        <w:t>Арбит</w:t>
      </w:r>
      <w:r w:rsidR="00ED0499">
        <w:rPr>
          <w:sz w:val="22"/>
          <w:szCs w:val="22"/>
        </w:rPr>
        <w:t>ражного суда Республики Карелия от 25.05.2011</w:t>
      </w:r>
      <w:r w:rsidR="008A5964">
        <w:rPr>
          <w:sz w:val="22"/>
          <w:szCs w:val="22"/>
        </w:rPr>
        <w:t xml:space="preserve">, Определения </w:t>
      </w:r>
      <w:r w:rsidR="008A5964" w:rsidRPr="004D47B7">
        <w:rPr>
          <w:sz w:val="22"/>
          <w:szCs w:val="22"/>
        </w:rPr>
        <w:t>Арбит</w:t>
      </w:r>
      <w:r w:rsidR="008A5964">
        <w:rPr>
          <w:sz w:val="22"/>
          <w:szCs w:val="22"/>
        </w:rPr>
        <w:t>ражного суда Республики Карелия от 23.11.2011,</w:t>
      </w:r>
      <w:r w:rsidR="008A5964" w:rsidRPr="008A5964">
        <w:rPr>
          <w:sz w:val="22"/>
          <w:szCs w:val="22"/>
        </w:rPr>
        <w:t xml:space="preserve"> </w:t>
      </w:r>
      <w:r w:rsidR="008A5964">
        <w:rPr>
          <w:sz w:val="22"/>
          <w:szCs w:val="22"/>
        </w:rPr>
        <w:t xml:space="preserve">Определения </w:t>
      </w:r>
      <w:r w:rsidR="008A5964" w:rsidRPr="004D47B7">
        <w:rPr>
          <w:sz w:val="22"/>
          <w:szCs w:val="22"/>
        </w:rPr>
        <w:t>Арбит</w:t>
      </w:r>
      <w:r w:rsidR="008A5964">
        <w:rPr>
          <w:sz w:val="22"/>
          <w:szCs w:val="22"/>
        </w:rPr>
        <w:t>ражного суда Республики Карелия от</w:t>
      </w:r>
      <w:r w:rsidR="00ED0499">
        <w:rPr>
          <w:sz w:val="22"/>
          <w:szCs w:val="22"/>
        </w:rPr>
        <w:t xml:space="preserve"> </w:t>
      </w:r>
      <w:r w:rsidR="008A5964">
        <w:rPr>
          <w:sz w:val="22"/>
          <w:szCs w:val="22"/>
        </w:rPr>
        <w:t>23.05.2012</w:t>
      </w:r>
      <w:r w:rsidR="00C1529D">
        <w:rPr>
          <w:sz w:val="22"/>
          <w:szCs w:val="22"/>
        </w:rPr>
        <w:t>,</w:t>
      </w:r>
      <w:r w:rsidR="00C1529D" w:rsidRPr="00C1529D">
        <w:rPr>
          <w:sz w:val="22"/>
          <w:szCs w:val="22"/>
        </w:rPr>
        <w:t xml:space="preserve"> </w:t>
      </w:r>
      <w:r w:rsidR="00C1529D">
        <w:rPr>
          <w:sz w:val="22"/>
          <w:szCs w:val="22"/>
        </w:rPr>
        <w:t xml:space="preserve">Определения </w:t>
      </w:r>
      <w:r w:rsidR="00C1529D" w:rsidRPr="004D47B7">
        <w:rPr>
          <w:sz w:val="22"/>
          <w:szCs w:val="22"/>
        </w:rPr>
        <w:t>Арбит</w:t>
      </w:r>
      <w:r w:rsidR="00C1529D">
        <w:rPr>
          <w:sz w:val="22"/>
          <w:szCs w:val="22"/>
        </w:rPr>
        <w:t>ражного суда Республики Карелия от</w:t>
      </w:r>
      <w:r w:rsidR="008A5964">
        <w:rPr>
          <w:sz w:val="22"/>
          <w:szCs w:val="22"/>
        </w:rPr>
        <w:t xml:space="preserve"> </w:t>
      </w:r>
      <w:r w:rsidR="00C1529D">
        <w:rPr>
          <w:sz w:val="22"/>
          <w:szCs w:val="22"/>
        </w:rPr>
        <w:t xml:space="preserve">14.11.2012 </w:t>
      </w:r>
      <w:r w:rsidR="00ED0499">
        <w:rPr>
          <w:sz w:val="22"/>
          <w:szCs w:val="22"/>
        </w:rPr>
        <w:t xml:space="preserve">(дело </w:t>
      </w:r>
      <w:r w:rsidR="00ED0499" w:rsidRPr="004D47B7">
        <w:rPr>
          <w:sz w:val="22"/>
          <w:szCs w:val="22"/>
        </w:rPr>
        <w:t>№</w:t>
      </w:r>
      <w:r w:rsidR="00ED0499">
        <w:rPr>
          <w:sz w:val="22"/>
          <w:szCs w:val="22"/>
        </w:rPr>
        <w:t>А26-1950/2009</w:t>
      </w:r>
      <w:r w:rsidR="00ED0499" w:rsidRPr="004D47B7">
        <w:rPr>
          <w:sz w:val="22"/>
          <w:szCs w:val="22"/>
        </w:rPr>
        <w:t>)</w:t>
      </w:r>
      <w:r w:rsidR="00C561A5" w:rsidRPr="0055250A">
        <w:rPr>
          <w:sz w:val="22"/>
          <w:szCs w:val="22"/>
        </w:rPr>
        <w:t xml:space="preserve">, </w:t>
      </w:r>
      <w:r w:rsidR="00C105B9" w:rsidRPr="0055250A">
        <w:rPr>
          <w:sz w:val="22"/>
          <w:szCs w:val="22"/>
        </w:rPr>
        <w:t>с другой стороны, заключили настоящий договор о нижеследующем:</w:t>
      </w:r>
      <w:proofErr w:type="gramEnd"/>
    </w:p>
    <w:p w:rsidR="001126D3" w:rsidRDefault="001126D3" w:rsidP="00CD7C01">
      <w:pPr>
        <w:ind w:firstLine="709"/>
        <w:jc w:val="both"/>
        <w:rPr>
          <w:sz w:val="22"/>
          <w:szCs w:val="22"/>
        </w:rPr>
      </w:pPr>
    </w:p>
    <w:p w:rsidR="00C1529D" w:rsidRDefault="00C1529D" w:rsidP="00CD7C01">
      <w:pPr>
        <w:ind w:firstLine="709"/>
        <w:jc w:val="both"/>
        <w:rPr>
          <w:sz w:val="22"/>
          <w:szCs w:val="22"/>
        </w:rPr>
      </w:pPr>
    </w:p>
    <w:p w:rsidR="00C1529D" w:rsidRPr="00C1529D" w:rsidRDefault="00C1529D" w:rsidP="00C1529D">
      <w:pPr>
        <w:ind w:firstLine="709"/>
        <w:jc w:val="center"/>
        <w:rPr>
          <w:b/>
          <w:sz w:val="22"/>
          <w:szCs w:val="22"/>
        </w:rPr>
      </w:pPr>
      <w:r w:rsidRPr="00C1529D">
        <w:rPr>
          <w:b/>
          <w:sz w:val="22"/>
          <w:szCs w:val="22"/>
        </w:rPr>
        <w:t>1. ПРЕДМЕТ ДОГОВОРА</w:t>
      </w:r>
    </w:p>
    <w:p w:rsidR="00C1529D" w:rsidRPr="00C1529D" w:rsidRDefault="00C1529D" w:rsidP="00C1529D">
      <w:pPr>
        <w:jc w:val="both"/>
        <w:rPr>
          <w:sz w:val="22"/>
          <w:szCs w:val="22"/>
        </w:rPr>
      </w:pPr>
      <w:r w:rsidRPr="00C1529D">
        <w:rPr>
          <w:sz w:val="22"/>
          <w:szCs w:val="22"/>
        </w:rPr>
        <w:t xml:space="preserve">1.1. </w:t>
      </w:r>
      <w:r w:rsidRPr="00C1529D">
        <w:rPr>
          <w:b/>
          <w:sz w:val="22"/>
          <w:szCs w:val="22"/>
        </w:rPr>
        <w:t>Заявитель</w:t>
      </w:r>
      <w:r w:rsidRPr="00C1529D">
        <w:rPr>
          <w:sz w:val="22"/>
          <w:szCs w:val="22"/>
        </w:rPr>
        <w:t xml:space="preserve"> для участия в открытых торгах  по продаже </w:t>
      </w:r>
      <w:r w:rsidRPr="00C1529D">
        <w:rPr>
          <w:b/>
          <w:sz w:val="22"/>
          <w:szCs w:val="22"/>
        </w:rPr>
        <w:t>Лот</w:t>
      </w:r>
      <w:r w:rsidR="007C131B">
        <w:rPr>
          <w:b/>
          <w:sz w:val="22"/>
          <w:szCs w:val="22"/>
        </w:rPr>
        <w:t>а</w:t>
      </w:r>
      <w:r w:rsidRPr="00C1529D">
        <w:rPr>
          <w:b/>
          <w:sz w:val="22"/>
          <w:szCs w:val="22"/>
        </w:rPr>
        <w:t xml:space="preserve"> №1:</w:t>
      </w:r>
      <w:r w:rsidRPr="00C1529D">
        <w:rPr>
          <w:sz w:val="22"/>
          <w:szCs w:val="22"/>
        </w:rPr>
        <w:t xml:space="preserve"> Материальный склад гараж, общая площадь 615,9 кв.м., принадлежащий ФГУП ОПХ «</w:t>
      </w:r>
      <w:proofErr w:type="spellStart"/>
      <w:r w:rsidRPr="00C1529D">
        <w:rPr>
          <w:sz w:val="22"/>
          <w:szCs w:val="22"/>
        </w:rPr>
        <w:t>Вилга</w:t>
      </w:r>
      <w:proofErr w:type="spellEnd"/>
      <w:r w:rsidRPr="00C1529D">
        <w:rPr>
          <w:sz w:val="22"/>
          <w:szCs w:val="22"/>
        </w:rPr>
        <w:t xml:space="preserve">», расположенный по адресу: </w:t>
      </w:r>
      <w:proofErr w:type="gramStart"/>
      <w:r w:rsidRPr="00C1529D">
        <w:rPr>
          <w:sz w:val="22"/>
          <w:szCs w:val="22"/>
        </w:rPr>
        <w:t xml:space="preserve">РК, </w:t>
      </w:r>
      <w:proofErr w:type="spellStart"/>
      <w:r w:rsidRPr="00C1529D">
        <w:rPr>
          <w:sz w:val="22"/>
          <w:szCs w:val="22"/>
        </w:rPr>
        <w:t>Прионежский</w:t>
      </w:r>
      <w:proofErr w:type="spellEnd"/>
      <w:r w:rsidRPr="00C1529D">
        <w:rPr>
          <w:sz w:val="22"/>
          <w:szCs w:val="22"/>
        </w:rPr>
        <w:t xml:space="preserve"> район, сельское поселение </w:t>
      </w:r>
      <w:proofErr w:type="spellStart"/>
      <w:r w:rsidRPr="00C1529D">
        <w:rPr>
          <w:sz w:val="22"/>
          <w:szCs w:val="22"/>
        </w:rPr>
        <w:t>Нововилговское</w:t>
      </w:r>
      <w:proofErr w:type="spellEnd"/>
      <w:r w:rsidRPr="00C1529D">
        <w:rPr>
          <w:sz w:val="22"/>
          <w:szCs w:val="22"/>
        </w:rPr>
        <w:t xml:space="preserve">, п. Новая </w:t>
      </w:r>
      <w:proofErr w:type="spellStart"/>
      <w:r w:rsidRPr="00C1529D">
        <w:rPr>
          <w:sz w:val="22"/>
          <w:szCs w:val="22"/>
        </w:rPr>
        <w:t>Вилга</w:t>
      </w:r>
      <w:proofErr w:type="spellEnd"/>
      <w:r w:rsidRPr="00C1529D">
        <w:rPr>
          <w:sz w:val="22"/>
          <w:szCs w:val="22"/>
        </w:rPr>
        <w:t xml:space="preserve">, пер. Производственный (далее - «Имущество»), проводимых 13 марта 2013 г. на электронной площадке (ЭП) ОАО «Российский аукционный дом» по адресу: </w:t>
      </w:r>
      <w:hyperlink r:id="rId7" w:history="1">
        <w:r w:rsidRPr="00C1529D">
          <w:rPr>
            <w:rStyle w:val="aa"/>
            <w:sz w:val="22"/>
            <w:szCs w:val="22"/>
          </w:rPr>
          <w:t>http://lot-online.ru</w:t>
        </w:r>
      </w:hyperlink>
      <w:r w:rsidRPr="00C1529D">
        <w:rPr>
          <w:sz w:val="22"/>
          <w:szCs w:val="22"/>
        </w:rPr>
        <w:t>, перечисляет денежные средства в сумме</w:t>
      </w:r>
      <w:r>
        <w:rPr>
          <w:sz w:val="22"/>
          <w:szCs w:val="22"/>
        </w:rPr>
        <w:t xml:space="preserve"> </w:t>
      </w:r>
      <w:r w:rsidRPr="007C131B">
        <w:rPr>
          <w:b/>
          <w:sz w:val="22"/>
          <w:szCs w:val="22"/>
        </w:rPr>
        <w:t>111 804 (сто одиннадцать тысяч восемьсот  четыре) рубля</w:t>
      </w:r>
      <w:r w:rsidRPr="00C1529D">
        <w:rPr>
          <w:sz w:val="22"/>
          <w:szCs w:val="22"/>
        </w:rPr>
        <w:t xml:space="preserve"> (далее – «Задаток»), а </w:t>
      </w:r>
      <w:r w:rsidRPr="00C1529D">
        <w:rPr>
          <w:b/>
          <w:sz w:val="22"/>
          <w:szCs w:val="22"/>
        </w:rPr>
        <w:t>Организатор торгов</w:t>
      </w:r>
      <w:r w:rsidRPr="00C1529D">
        <w:rPr>
          <w:sz w:val="22"/>
          <w:szCs w:val="22"/>
        </w:rPr>
        <w:t xml:space="preserve"> принимает задаток на расчетный счет № 40502810200123947857 в Петрозаводский филиал ОАО «Балтийский</w:t>
      </w:r>
      <w:proofErr w:type="gramEnd"/>
      <w:r w:rsidRPr="00C1529D">
        <w:rPr>
          <w:sz w:val="22"/>
          <w:szCs w:val="22"/>
        </w:rPr>
        <w:t xml:space="preserve"> Банк» г. Петрозаводск, БИК 048602752; </w:t>
      </w:r>
      <w:proofErr w:type="gramStart"/>
      <w:r w:rsidRPr="00C1529D">
        <w:rPr>
          <w:sz w:val="22"/>
          <w:szCs w:val="22"/>
        </w:rPr>
        <w:t>к</w:t>
      </w:r>
      <w:proofErr w:type="gramEnd"/>
      <w:r w:rsidRPr="00C1529D">
        <w:rPr>
          <w:sz w:val="22"/>
          <w:szCs w:val="22"/>
        </w:rPr>
        <w:t xml:space="preserve">/с 30101810000000000752, </w:t>
      </w:r>
      <w:r w:rsidRPr="00C1529D">
        <w:rPr>
          <w:b/>
          <w:sz w:val="22"/>
          <w:szCs w:val="22"/>
        </w:rPr>
        <w:t xml:space="preserve">Получатель: </w:t>
      </w:r>
      <w:r w:rsidRPr="00C1529D">
        <w:rPr>
          <w:sz w:val="22"/>
          <w:szCs w:val="22"/>
        </w:rPr>
        <w:t>ФГУП ОПХ «</w:t>
      </w:r>
      <w:proofErr w:type="spellStart"/>
      <w:r w:rsidRPr="00C1529D">
        <w:rPr>
          <w:sz w:val="22"/>
          <w:szCs w:val="22"/>
        </w:rPr>
        <w:t>Вилга</w:t>
      </w:r>
      <w:proofErr w:type="spellEnd"/>
      <w:r w:rsidRPr="00C1529D">
        <w:rPr>
          <w:sz w:val="22"/>
          <w:szCs w:val="22"/>
        </w:rPr>
        <w:t xml:space="preserve">» ИНН 1020001438 КПП 102001001. </w:t>
      </w:r>
    </w:p>
    <w:p w:rsidR="00C1529D" w:rsidRPr="00C1529D" w:rsidRDefault="00C1529D" w:rsidP="00C1529D">
      <w:pPr>
        <w:jc w:val="both"/>
        <w:rPr>
          <w:sz w:val="22"/>
          <w:szCs w:val="22"/>
        </w:rPr>
      </w:pPr>
      <w:r w:rsidRPr="00C1529D">
        <w:rPr>
          <w:sz w:val="22"/>
          <w:szCs w:val="22"/>
        </w:rPr>
        <w:t xml:space="preserve">1.2. Указанный Задаток вносится Заявителем в качестве обеспечения обязательств по участию в Торгах и оплате имущества, в случае признания Заявителя победителем Торгов, в соответствии с подаваемой им заявкой на участие в Торгах и Договором. </w:t>
      </w:r>
    </w:p>
    <w:p w:rsidR="00C1529D" w:rsidRPr="008A5964" w:rsidRDefault="00C1529D" w:rsidP="00C1529D">
      <w:pPr>
        <w:jc w:val="both"/>
        <w:rPr>
          <w:sz w:val="22"/>
          <w:szCs w:val="22"/>
        </w:rPr>
      </w:pPr>
      <w:r w:rsidRPr="00C1529D">
        <w:rPr>
          <w:sz w:val="22"/>
          <w:szCs w:val="22"/>
        </w:rPr>
        <w:t>1.3. Для участия в открытых</w:t>
      </w:r>
      <w:r w:rsidRPr="00305248">
        <w:rPr>
          <w:sz w:val="22"/>
          <w:szCs w:val="22"/>
        </w:rPr>
        <w:t xml:space="preserve"> торгах Заявитель</w:t>
      </w:r>
      <w:r>
        <w:rPr>
          <w:sz w:val="22"/>
          <w:szCs w:val="22"/>
        </w:rPr>
        <w:t xml:space="preserve"> представляет оператору Э</w:t>
      </w:r>
      <w:r w:rsidRPr="008A5964">
        <w:rPr>
          <w:sz w:val="22"/>
          <w:szCs w:val="22"/>
        </w:rPr>
        <w:t>П в электронной форме подписанный электронной цифровой подписью (ЭЦП) заявителя настоящий договор о задатке.</w:t>
      </w:r>
    </w:p>
    <w:p w:rsidR="00C1529D" w:rsidRDefault="00C1529D" w:rsidP="00C1529D">
      <w:pPr>
        <w:jc w:val="both"/>
        <w:rPr>
          <w:sz w:val="22"/>
          <w:szCs w:val="22"/>
        </w:rPr>
      </w:pPr>
    </w:p>
    <w:p w:rsidR="00C1529D" w:rsidRPr="008A5964" w:rsidRDefault="00C1529D" w:rsidP="00C1529D">
      <w:pPr>
        <w:ind w:firstLine="709"/>
        <w:jc w:val="center"/>
        <w:rPr>
          <w:b/>
          <w:sz w:val="22"/>
          <w:szCs w:val="22"/>
        </w:rPr>
      </w:pPr>
      <w:r w:rsidRPr="008A5964">
        <w:rPr>
          <w:b/>
          <w:sz w:val="22"/>
          <w:szCs w:val="22"/>
        </w:rPr>
        <w:t>2. ПОРЯДОК ВНЕСЕНИЯ ЗАДАТКА</w:t>
      </w:r>
    </w:p>
    <w:p w:rsidR="00C1529D" w:rsidRPr="008A5964" w:rsidRDefault="00C1529D" w:rsidP="00C1529D">
      <w:pPr>
        <w:jc w:val="both"/>
        <w:rPr>
          <w:sz w:val="22"/>
          <w:szCs w:val="22"/>
        </w:rPr>
      </w:pPr>
      <w:r w:rsidRPr="008A5964">
        <w:rPr>
          <w:sz w:val="22"/>
          <w:szCs w:val="22"/>
        </w:rPr>
        <w:t>2.1. Задаток</w:t>
      </w:r>
      <w:r w:rsidRPr="008A5964">
        <w:rPr>
          <w:b/>
          <w:sz w:val="22"/>
          <w:szCs w:val="22"/>
        </w:rPr>
        <w:t xml:space="preserve"> </w:t>
      </w:r>
      <w:r w:rsidRPr="008A5964">
        <w:rPr>
          <w:sz w:val="22"/>
          <w:szCs w:val="22"/>
        </w:rPr>
        <w:t xml:space="preserve"> должен быть внесен Заявителем</w:t>
      </w:r>
      <w:r>
        <w:rPr>
          <w:sz w:val="22"/>
          <w:szCs w:val="22"/>
        </w:rPr>
        <w:t xml:space="preserve"> на указанный в п. 1.1. настоящего договора о задатке  р</w:t>
      </w:r>
      <w:r w:rsidRPr="008A5964">
        <w:rPr>
          <w:sz w:val="22"/>
          <w:szCs w:val="22"/>
        </w:rPr>
        <w:t>асчетный счет</w:t>
      </w:r>
      <w:r>
        <w:rPr>
          <w:sz w:val="22"/>
          <w:szCs w:val="22"/>
        </w:rPr>
        <w:t xml:space="preserve"> </w:t>
      </w:r>
      <w:r w:rsidRPr="008A5964">
        <w:rPr>
          <w:sz w:val="22"/>
          <w:szCs w:val="22"/>
        </w:rPr>
        <w:t xml:space="preserve"> </w:t>
      </w:r>
      <w:r w:rsidRPr="008A5964">
        <w:rPr>
          <w:b/>
          <w:sz w:val="22"/>
          <w:szCs w:val="22"/>
        </w:rPr>
        <w:t>до</w:t>
      </w:r>
      <w:r>
        <w:rPr>
          <w:b/>
          <w:sz w:val="22"/>
          <w:szCs w:val="22"/>
        </w:rPr>
        <w:t xml:space="preserve"> 06 марта 2013 г</w:t>
      </w:r>
      <w:r w:rsidRPr="008A5964">
        <w:rPr>
          <w:b/>
          <w:sz w:val="22"/>
          <w:szCs w:val="22"/>
        </w:rPr>
        <w:t>.,</w:t>
      </w:r>
      <w:r w:rsidRPr="008A5964">
        <w:rPr>
          <w:sz w:val="22"/>
          <w:szCs w:val="22"/>
        </w:rPr>
        <w:t xml:space="preserve"> и считается внесенным </w:t>
      </w:r>
      <w:proofErr w:type="gramStart"/>
      <w:r w:rsidRPr="008A5964">
        <w:rPr>
          <w:sz w:val="22"/>
          <w:szCs w:val="22"/>
        </w:rPr>
        <w:t xml:space="preserve">с </w:t>
      </w:r>
      <w:r>
        <w:rPr>
          <w:sz w:val="22"/>
          <w:szCs w:val="22"/>
        </w:rPr>
        <w:t>даты поступления</w:t>
      </w:r>
      <w:proofErr w:type="gramEnd"/>
      <w:r>
        <w:rPr>
          <w:sz w:val="22"/>
          <w:szCs w:val="22"/>
        </w:rPr>
        <w:t xml:space="preserve"> всей суммы задатка на указанный счет.</w:t>
      </w:r>
    </w:p>
    <w:p w:rsidR="00C1529D" w:rsidRPr="008A5964" w:rsidRDefault="00C1529D" w:rsidP="00C1529D">
      <w:pPr>
        <w:jc w:val="both"/>
        <w:rPr>
          <w:sz w:val="22"/>
          <w:szCs w:val="22"/>
        </w:rPr>
      </w:pPr>
      <w:r w:rsidRPr="008A5964">
        <w:rPr>
          <w:sz w:val="22"/>
          <w:szCs w:val="22"/>
        </w:rPr>
        <w:t>2.2. Документами, подтверждающими внесение Задатка Заявителем на Расчетный счет, является выписка со счета организатора торгов, копия платежного поручения о перечисления Задатка, с отметкой банка.</w:t>
      </w:r>
    </w:p>
    <w:p w:rsidR="00C1529D" w:rsidRPr="008A5964" w:rsidRDefault="00C1529D" w:rsidP="00C1529D">
      <w:pPr>
        <w:jc w:val="both"/>
        <w:rPr>
          <w:sz w:val="22"/>
          <w:szCs w:val="22"/>
        </w:rPr>
      </w:pPr>
      <w:r w:rsidRPr="008A5964">
        <w:rPr>
          <w:sz w:val="22"/>
          <w:szCs w:val="22"/>
        </w:rPr>
        <w:t xml:space="preserve">2.3. В случае не </w:t>
      </w:r>
      <w:r>
        <w:rPr>
          <w:sz w:val="22"/>
          <w:szCs w:val="22"/>
        </w:rPr>
        <w:t>поступления</w:t>
      </w:r>
      <w:r w:rsidRPr="008A5964">
        <w:rPr>
          <w:sz w:val="22"/>
          <w:szCs w:val="22"/>
        </w:rPr>
        <w:t xml:space="preserve"> в срок, предусмотренный п.2.1. Договора, Задатка на Расчетный счет, обязательства Заявителя по внесению Задатка считаются неисполненными, и Заявитель не регистрируется как участник Торгов. </w:t>
      </w:r>
    </w:p>
    <w:p w:rsidR="00C1529D" w:rsidRPr="008A5964" w:rsidRDefault="00C1529D" w:rsidP="00C1529D">
      <w:pPr>
        <w:ind w:firstLine="709"/>
        <w:jc w:val="center"/>
        <w:rPr>
          <w:b/>
          <w:sz w:val="22"/>
          <w:szCs w:val="22"/>
        </w:rPr>
      </w:pPr>
      <w:r w:rsidRPr="008A5964">
        <w:rPr>
          <w:b/>
          <w:sz w:val="22"/>
          <w:szCs w:val="22"/>
        </w:rPr>
        <w:t>3. ВОЗВРАТ ЗАДАТКА</w:t>
      </w:r>
    </w:p>
    <w:p w:rsidR="00C1529D" w:rsidRPr="0055250A" w:rsidRDefault="00C1529D" w:rsidP="00C1529D">
      <w:pPr>
        <w:jc w:val="both"/>
        <w:rPr>
          <w:sz w:val="22"/>
          <w:szCs w:val="22"/>
        </w:rPr>
      </w:pPr>
      <w:r w:rsidRPr="008A5964">
        <w:rPr>
          <w:sz w:val="22"/>
          <w:szCs w:val="22"/>
        </w:rPr>
        <w:t>3.1. В случае если Заявителю было отказано в допуске к участию в Торгах, Задаток ему возвращается Организатором торгов в течение 5 (Пяти) банковских дней с момента отправления</w:t>
      </w:r>
      <w:r w:rsidRPr="0055250A">
        <w:rPr>
          <w:sz w:val="22"/>
          <w:szCs w:val="22"/>
        </w:rPr>
        <w:t xml:space="preserve"> Организатором торгов уведомления об отказе в допуске к участию в Торгах, направленного Заявителю заказным письмом с уведомлением о вручении.</w:t>
      </w:r>
    </w:p>
    <w:p w:rsidR="00C1529D" w:rsidRPr="0055250A" w:rsidRDefault="00C1529D" w:rsidP="00C1529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55250A">
        <w:rPr>
          <w:sz w:val="22"/>
          <w:szCs w:val="22"/>
        </w:rPr>
        <w:t>3.2. В случае если Заявитель/участник торгов не признан победителем Торгов, Задаток ему возвращается Организатором торгов в течение 5 (Пяти) рабочих дней со дня подписания протокола о результатах проведения торгов.</w:t>
      </w:r>
    </w:p>
    <w:p w:rsidR="00C1529D" w:rsidRPr="0055250A" w:rsidRDefault="00C1529D" w:rsidP="00C1529D">
      <w:pPr>
        <w:jc w:val="both"/>
        <w:rPr>
          <w:sz w:val="22"/>
          <w:szCs w:val="22"/>
        </w:rPr>
      </w:pPr>
      <w:r w:rsidRPr="0055250A">
        <w:rPr>
          <w:sz w:val="22"/>
          <w:szCs w:val="22"/>
        </w:rPr>
        <w:t xml:space="preserve">3.3. В случае отзыва Заявителем заявки на участие в Торгах до момента подведения итогов торгов (при отсутствии письменного заявления о зачете данного задатка в счет вновь поданной заявки), Задаток ему возвращается Организатором торгов в течение 5 (Пяти) банковских дней </w:t>
      </w:r>
      <w:proofErr w:type="gramStart"/>
      <w:r w:rsidRPr="0055250A">
        <w:rPr>
          <w:sz w:val="22"/>
          <w:szCs w:val="22"/>
        </w:rPr>
        <w:t>с даты получения</w:t>
      </w:r>
      <w:proofErr w:type="gramEnd"/>
      <w:r w:rsidRPr="0055250A">
        <w:rPr>
          <w:sz w:val="22"/>
          <w:szCs w:val="22"/>
        </w:rPr>
        <w:t xml:space="preserve"> Организатором торгов письменного уведомления от Заявителя об отзыве заявки.</w:t>
      </w:r>
    </w:p>
    <w:p w:rsidR="00C1529D" w:rsidRPr="0055250A" w:rsidRDefault="00C1529D" w:rsidP="00C152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 Возврат задатка осуществляется с расчетного счета, указанного в п. 1.2. настоящего Договора на </w:t>
      </w:r>
      <w:r w:rsidRPr="0055250A">
        <w:rPr>
          <w:sz w:val="22"/>
          <w:szCs w:val="22"/>
        </w:rPr>
        <w:t>счет Заявителя (участника торгов).</w:t>
      </w:r>
    </w:p>
    <w:p w:rsidR="00C1529D" w:rsidRPr="0055250A" w:rsidRDefault="00C1529D" w:rsidP="00C1529D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55250A">
        <w:rPr>
          <w:sz w:val="22"/>
          <w:szCs w:val="22"/>
        </w:rPr>
        <w:t>3.</w:t>
      </w:r>
      <w:r>
        <w:rPr>
          <w:sz w:val="22"/>
          <w:szCs w:val="22"/>
        </w:rPr>
        <w:t>5</w:t>
      </w:r>
      <w:r w:rsidRPr="0055250A">
        <w:rPr>
          <w:sz w:val="22"/>
          <w:szCs w:val="22"/>
        </w:rPr>
        <w:t xml:space="preserve">. В случае если Заявитель/участник торгов, признанный победителем Торгов, уклоняется от  подписания Договора купли-продажи имущества в течение 5 (пяти) дней со дня получения предложения арбитражного </w:t>
      </w:r>
      <w:r w:rsidRPr="0055250A">
        <w:rPr>
          <w:sz w:val="22"/>
          <w:szCs w:val="22"/>
        </w:rPr>
        <w:lastRenderedPageBreak/>
        <w:t>управляющего о заключении такого договора, то Задаток ему не возвращается в соответствии с пунктом 16 статьи 110 ФЗ «О несостоятельности (банкротстве)».</w:t>
      </w:r>
    </w:p>
    <w:p w:rsidR="00C1529D" w:rsidRPr="0055250A" w:rsidRDefault="00C1529D" w:rsidP="00C1529D">
      <w:pPr>
        <w:pStyle w:val="a4"/>
        <w:tabs>
          <w:tab w:val="num" w:pos="825"/>
        </w:tabs>
        <w:ind w:left="0"/>
        <w:rPr>
          <w:sz w:val="22"/>
          <w:szCs w:val="22"/>
        </w:rPr>
      </w:pPr>
      <w:r w:rsidRPr="0055250A">
        <w:rPr>
          <w:sz w:val="22"/>
          <w:szCs w:val="22"/>
        </w:rPr>
        <w:t>3.</w:t>
      </w:r>
      <w:r>
        <w:rPr>
          <w:sz w:val="22"/>
          <w:szCs w:val="22"/>
        </w:rPr>
        <w:t>6</w:t>
      </w:r>
      <w:r w:rsidRPr="0055250A">
        <w:rPr>
          <w:sz w:val="22"/>
          <w:szCs w:val="22"/>
        </w:rPr>
        <w:t>. В случае признания Заявителя/участника торгов победителем Торгов, сумма Задатка Заявителя/участника торгов  засчитывается в счет оплаты приобретаемого на Торгах имущества.</w:t>
      </w:r>
    </w:p>
    <w:p w:rsidR="00C1529D" w:rsidRPr="0055250A" w:rsidRDefault="00C1529D" w:rsidP="00C1529D">
      <w:pPr>
        <w:ind w:firstLine="709"/>
        <w:jc w:val="center"/>
        <w:rPr>
          <w:b/>
          <w:sz w:val="22"/>
          <w:szCs w:val="22"/>
        </w:rPr>
      </w:pPr>
      <w:r w:rsidRPr="0055250A">
        <w:rPr>
          <w:b/>
          <w:sz w:val="22"/>
          <w:szCs w:val="22"/>
        </w:rPr>
        <w:t>4. СРОК ДЕЙСТВИЯ ДОГОВОРА</w:t>
      </w:r>
    </w:p>
    <w:p w:rsidR="00C1529D" w:rsidRPr="0055250A" w:rsidRDefault="00C1529D" w:rsidP="00C1529D">
      <w:pPr>
        <w:pStyle w:val="a4"/>
        <w:tabs>
          <w:tab w:val="num" w:pos="720"/>
        </w:tabs>
        <w:ind w:left="0"/>
        <w:rPr>
          <w:sz w:val="22"/>
          <w:szCs w:val="22"/>
        </w:rPr>
      </w:pPr>
      <w:r w:rsidRPr="0055250A">
        <w:rPr>
          <w:sz w:val="22"/>
          <w:szCs w:val="22"/>
        </w:rPr>
        <w:t>4.1. Договор вступает в силу с момента подписания его сторонами и действует до полного исполнения сторонами обязательств в полном объеме, предусмотренных Договором.</w:t>
      </w:r>
    </w:p>
    <w:p w:rsidR="00C1529D" w:rsidRPr="0055250A" w:rsidRDefault="00C1529D" w:rsidP="00C1529D">
      <w:pPr>
        <w:ind w:firstLine="709"/>
        <w:jc w:val="center"/>
        <w:rPr>
          <w:b/>
          <w:sz w:val="22"/>
          <w:szCs w:val="22"/>
        </w:rPr>
      </w:pPr>
      <w:r w:rsidRPr="0055250A">
        <w:rPr>
          <w:b/>
          <w:sz w:val="22"/>
          <w:szCs w:val="22"/>
        </w:rPr>
        <w:t>5. ПРОЧИЕ УСЛОВИЯ</w:t>
      </w:r>
    </w:p>
    <w:p w:rsidR="00C1529D" w:rsidRPr="0055250A" w:rsidRDefault="00C1529D" w:rsidP="00C1529D">
      <w:pPr>
        <w:jc w:val="both"/>
        <w:rPr>
          <w:sz w:val="22"/>
          <w:szCs w:val="22"/>
        </w:rPr>
      </w:pPr>
      <w:r w:rsidRPr="0055250A">
        <w:rPr>
          <w:sz w:val="22"/>
          <w:szCs w:val="22"/>
        </w:rPr>
        <w:t>5.1. Настоящий Договор составлен и подписан в 2-х экземплярах, имеющих один</w:t>
      </w:r>
      <w:r w:rsidRPr="0055250A">
        <w:rPr>
          <w:sz w:val="22"/>
          <w:szCs w:val="22"/>
        </w:rPr>
        <w:t>а</w:t>
      </w:r>
      <w:r w:rsidRPr="0055250A">
        <w:rPr>
          <w:sz w:val="22"/>
          <w:szCs w:val="22"/>
        </w:rPr>
        <w:t xml:space="preserve">ковую юридическую силу, по одному экземпляру для каждой из сторон. </w:t>
      </w:r>
    </w:p>
    <w:p w:rsidR="00C1529D" w:rsidRPr="0055250A" w:rsidRDefault="00C1529D" w:rsidP="00C1529D">
      <w:pPr>
        <w:jc w:val="both"/>
        <w:rPr>
          <w:sz w:val="22"/>
          <w:szCs w:val="22"/>
        </w:rPr>
      </w:pPr>
      <w:r w:rsidRPr="0055250A">
        <w:rPr>
          <w:sz w:val="22"/>
          <w:szCs w:val="22"/>
        </w:rPr>
        <w:t>5.2. Все изменения и дополнения к Договору считаются действител</w:t>
      </w:r>
      <w:r w:rsidRPr="0055250A">
        <w:rPr>
          <w:sz w:val="22"/>
          <w:szCs w:val="22"/>
        </w:rPr>
        <w:t>ь</w:t>
      </w:r>
      <w:r w:rsidRPr="0055250A">
        <w:rPr>
          <w:sz w:val="22"/>
          <w:szCs w:val="22"/>
        </w:rPr>
        <w:t>ными в случае, если они совершены в письменной форме и подписаны лицами, уполном</w:t>
      </w:r>
      <w:r w:rsidRPr="0055250A">
        <w:rPr>
          <w:sz w:val="22"/>
          <w:szCs w:val="22"/>
        </w:rPr>
        <w:t>о</w:t>
      </w:r>
      <w:r w:rsidRPr="0055250A">
        <w:rPr>
          <w:sz w:val="22"/>
          <w:szCs w:val="22"/>
        </w:rPr>
        <w:t>ченными на то Сторонами.</w:t>
      </w:r>
    </w:p>
    <w:p w:rsidR="00C1529D" w:rsidRPr="0055250A" w:rsidRDefault="00C1529D" w:rsidP="00C1529D">
      <w:pPr>
        <w:jc w:val="both"/>
        <w:rPr>
          <w:sz w:val="22"/>
          <w:szCs w:val="22"/>
        </w:rPr>
      </w:pPr>
      <w:r w:rsidRPr="0055250A">
        <w:rPr>
          <w:sz w:val="22"/>
          <w:szCs w:val="22"/>
        </w:rPr>
        <w:t>5.3. Все вопросы, не урегулированные в Договоре, решаются в соответствии с де</w:t>
      </w:r>
      <w:r w:rsidRPr="0055250A">
        <w:rPr>
          <w:sz w:val="22"/>
          <w:szCs w:val="22"/>
        </w:rPr>
        <w:t>й</w:t>
      </w:r>
      <w:r w:rsidRPr="0055250A">
        <w:rPr>
          <w:sz w:val="22"/>
          <w:szCs w:val="22"/>
        </w:rPr>
        <w:t xml:space="preserve">ствующим законодательством РФ. </w:t>
      </w:r>
    </w:p>
    <w:p w:rsidR="00C1529D" w:rsidRPr="008A5964" w:rsidRDefault="00C1529D" w:rsidP="00C1529D">
      <w:pPr>
        <w:jc w:val="both"/>
        <w:rPr>
          <w:sz w:val="22"/>
          <w:szCs w:val="22"/>
        </w:rPr>
      </w:pPr>
      <w:r w:rsidRPr="0055250A">
        <w:rPr>
          <w:sz w:val="22"/>
          <w:szCs w:val="22"/>
        </w:rPr>
        <w:t>5.4. В случае неисполнения или ненадлежащего исполнения принятых на себя обязательств по настоящему Договору Стороны несут ответственность в соответствии с действующим законодательством РФ.</w:t>
      </w:r>
    </w:p>
    <w:p w:rsidR="00C1529D" w:rsidRDefault="00C1529D" w:rsidP="00C1529D">
      <w:pPr>
        <w:ind w:firstLine="709"/>
        <w:jc w:val="center"/>
        <w:rPr>
          <w:b/>
          <w:sz w:val="22"/>
          <w:szCs w:val="22"/>
        </w:rPr>
      </w:pPr>
      <w:r w:rsidRPr="0055250A">
        <w:rPr>
          <w:b/>
          <w:sz w:val="22"/>
          <w:szCs w:val="22"/>
        </w:rPr>
        <w:t>6. ЮРИДИЧЕСКИЕ АДРЕСА И БАНКОВСКИЕ РЕКВИЗИТЫ СТОРОН</w:t>
      </w:r>
    </w:p>
    <w:p w:rsidR="00C1529D" w:rsidRPr="008A5964" w:rsidRDefault="00C1529D" w:rsidP="00C1529D">
      <w:pPr>
        <w:ind w:firstLine="709"/>
        <w:jc w:val="center"/>
        <w:rPr>
          <w:b/>
          <w:sz w:val="22"/>
          <w:szCs w:val="22"/>
        </w:rPr>
      </w:pPr>
    </w:p>
    <w:tbl>
      <w:tblPr>
        <w:tblW w:w="10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"/>
        <w:gridCol w:w="4931"/>
        <w:gridCol w:w="172"/>
        <w:gridCol w:w="4962"/>
        <w:gridCol w:w="219"/>
      </w:tblGrid>
      <w:tr w:rsidR="00C1529D" w:rsidRPr="0055250A">
        <w:tblPrEx>
          <w:tblCellMar>
            <w:top w:w="0" w:type="dxa"/>
            <w:bottom w:w="0" w:type="dxa"/>
          </w:tblCellMar>
        </w:tblPrEx>
        <w:trPr>
          <w:gridAfter w:val="1"/>
          <w:wAfter w:w="219" w:type="dxa"/>
        </w:trPr>
        <w:tc>
          <w:tcPr>
            <w:tcW w:w="5173" w:type="dxa"/>
            <w:gridSpan w:val="3"/>
          </w:tcPr>
          <w:p w:rsidR="00C1529D" w:rsidRPr="0055250A" w:rsidRDefault="00C1529D" w:rsidP="00866668">
            <w:pPr>
              <w:jc w:val="center"/>
              <w:rPr>
                <w:b/>
                <w:sz w:val="22"/>
                <w:szCs w:val="22"/>
              </w:rPr>
            </w:pPr>
            <w:r w:rsidRPr="0055250A">
              <w:rPr>
                <w:b/>
                <w:sz w:val="22"/>
                <w:szCs w:val="22"/>
              </w:rPr>
              <w:t>ОРГАНИЗАТОР ТОРГОВ</w:t>
            </w:r>
          </w:p>
        </w:tc>
        <w:tc>
          <w:tcPr>
            <w:tcW w:w="4962" w:type="dxa"/>
          </w:tcPr>
          <w:p w:rsidR="00C1529D" w:rsidRPr="0055250A" w:rsidRDefault="00C1529D" w:rsidP="00866668">
            <w:pPr>
              <w:jc w:val="center"/>
              <w:rPr>
                <w:b/>
                <w:sz w:val="22"/>
                <w:szCs w:val="22"/>
              </w:rPr>
            </w:pPr>
            <w:r w:rsidRPr="0055250A">
              <w:rPr>
                <w:b/>
                <w:sz w:val="22"/>
                <w:szCs w:val="22"/>
              </w:rPr>
              <w:t>ЗАЯВИТЕЛЬ</w:t>
            </w:r>
          </w:p>
        </w:tc>
      </w:tr>
      <w:tr w:rsidR="00C1529D" w:rsidRPr="0055250A">
        <w:tblPrEx>
          <w:tblCellMar>
            <w:top w:w="0" w:type="dxa"/>
            <w:bottom w:w="0" w:type="dxa"/>
          </w:tblCellMar>
        </w:tblPrEx>
        <w:trPr>
          <w:gridAfter w:val="1"/>
          <w:wAfter w:w="219" w:type="dxa"/>
        </w:trPr>
        <w:tc>
          <w:tcPr>
            <w:tcW w:w="5173" w:type="dxa"/>
            <w:gridSpan w:val="3"/>
          </w:tcPr>
          <w:p w:rsidR="00C1529D" w:rsidRPr="0055250A" w:rsidRDefault="00C1529D" w:rsidP="00866668">
            <w:pPr>
              <w:rPr>
                <w:b/>
                <w:sz w:val="22"/>
                <w:szCs w:val="22"/>
              </w:rPr>
            </w:pPr>
            <w:r w:rsidRPr="0055250A">
              <w:rPr>
                <w:b/>
                <w:sz w:val="22"/>
                <w:szCs w:val="22"/>
              </w:rPr>
              <w:t>Конкурсный управляющий</w:t>
            </w:r>
          </w:p>
          <w:p w:rsidR="00C1529D" w:rsidRDefault="00C1529D" w:rsidP="008666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ФГУП ОПХ «</w:t>
            </w:r>
            <w:proofErr w:type="spellStart"/>
            <w:r>
              <w:rPr>
                <w:b/>
                <w:sz w:val="22"/>
                <w:szCs w:val="22"/>
              </w:rPr>
              <w:t>Вилга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</w:p>
          <w:p w:rsidR="00C1529D" w:rsidRPr="0055250A" w:rsidRDefault="00C1529D" w:rsidP="00866668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Тюрлик</w:t>
            </w:r>
            <w:proofErr w:type="spellEnd"/>
            <w:r>
              <w:rPr>
                <w:b/>
                <w:sz w:val="22"/>
                <w:szCs w:val="22"/>
              </w:rPr>
              <w:t xml:space="preserve"> В.В.</w:t>
            </w:r>
          </w:p>
        </w:tc>
        <w:tc>
          <w:tcPr>
            <w:tcW w:w="4962" w:type="dxa"/>
          </w:tcPr>
          <w:p w:rsidR="00C1529D" w:rsidRPr="0055250A" w:rsidRDefault="00C1529D" w:rsidP="0086666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1529D" w:rsidRPr="0055250A">
        <w:tblPrEx>
          <w:tblCellMar>
            <w:top w:w="0" w:type="dxa"/>
            <w:bottom w:w="0" w:type="dxa"/>
          </w:tblCellMar>
        </w:tblPrEx>
        <w:trPr>
          <w:gridAfter w:val="1"/>
          <w:wAfter w:w="219" w:type="dxa"/>
          <w:trHeight w:val="709"/>
        </w:trPr>
        <w:tc>
          <w:tcPr>
            <w:tcW w:w="5173" w:type="dxa"/>
            <w:gridSpan w:val="3"/>
          </w:tcPr>
          <w:p w:rsidR="00C1529D" w:rsidRDefault="00C1529D" w:rsidP="00866668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185506, Республика Карелия, 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Прионежский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район, </w:t>
            </w:r>
          </w:p>
          <w:p w:rsidR="00C1529D" w:rsidRDefault="00C1529D" w:rsidP="00866668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п. Новая 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Вилга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, ул. Центральная, д. 12</w:t>
            </w:r>
          </w:p>
          <w:p w:rsidR="00C1529D" w:rsidRDefault="00C1529D" w:rsidP="0086666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ИНН 1020001438 КПП 102001001</w:t>
            </w:r>
          </w:p>
          <w:p w:rsidR="00C1529D" w:rsidRDefault="00C1529D" w:rsidP="00866668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>/с 40502810200123947857</w:t>
            </w:r>
          </w:p>
          <w:p w:rsidR="00C1529D" w:rsidRDefault="00C1529D" w:rsidP="008666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Петрозаводский филиал ОАО «Балтийский Банк» </w:t>
            </w:r>
          </w:p>
          <w:p w:rsidR="00C1529D" w:rsidRDefault="00C1529D" w:rsidP="008666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Петрозаводск</w:t>
            </w:r>
          </w:p>
          <w:p w:rsidR="00C1529D" w:rsidRDefault="00C1529D" w:rsidP="008666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к/с 30101810000000000752</w:t>
            </w:r>
          </w:p>
          <w:p w:rsidR="00C1529D" w:rsidRPr="0055250A" w:rsidRDefault="00C1529D" w:rsidP="008666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048602752</w:t>
            </w:r>
          </w:p>
        </w:tc>
        <w:tc>
          <w:tcPr>
            <w:tcW w:w="4962" w:type="dxa"/>
          </w:tcPr>
          <w:p w:rsidR="00C1529D" w:rsidRPr="0055250A" w:rsidRDefault="00C1529D" w:rsidP="00866668">
            <w:pPr>
              <w:jc w:val="both"/>
              <w:rPr>
                <w:sz w:val="22"/>
                <w:szCs w:val="22"/>
              </w:rPr>
            </w:pPr>
          </w:p>
        </w:tc>
      </w:tr>
      <w:tr w:rsidR="00C1529D" w:rsidRPr="0055250A">
        <w:tblPrEx>
          <w:tblCellMar>
            <w:top w:w="0" w:type="dxa"/>
            <w:bottom w:w="0" w:type="dxa"/>
          </w:tblCellMar>
        </w:tblPrEx>
        <w:trPr>
          <w:gridAfter w:val="1"/>
          <w:wAfter w:w="219" w:type="dxa"/>
          <w:trHeight w:val="1202"/>
        </w:trPr>
        <w:tc>
          <w:tcPr>
            <w:tcW w:w="5173" w:type="dxa"/>
            <w:gridSpan w:val="3"/>
          </w:tcPr>
          <w:p w:rsidR="00C1529D" w:rsidRPr="0055250A" w:rsidRDefault="00C1529D" w:rsidP="00866668">
            <w:pPr>
              <w:jc w:val="both"/>
              <w:rPr>
                <w:sz w:val="22"/>
                <w:szCs w:val="22"/>
              </w:rPr>
            </w:pPr>
          </w:p>
          <w:p w:rsidR="00C1529D" w:rsidRPr="0055250A" w:rsidRDefault="00C1529D" w:rsidP="00866668">
            <w:pPr>
              <w:jc w:val="both"/>
              <w:rPr>
                <w:sz w:val="22"/>
                <w:szCs w:val="22"/>
              </w:rPr>
            </w:pPr>
          </w:p>
          <w:p w:rsidR="00C1529D" w:rsidRPr="0055250A" w:rsidRDefault="00C1529D" w:rsidP="00866668">
            <w:pPr>
              <w:jc w:val="both"/>
              <w:rPr>
                <w:sz w:val="22"/>
                <w:szCs w:val="22"/>
              </w:rPr>
            </w:pPr>
            <w:r w:rsidRPr="0055250A">
              <w:rPr>
                <w:sz w:val="22"/>
                <w:szCs w:val="22"/>
              </w:rPr>
              <w:t>Конкурсный управляющий</w:t>
            </w:r>
          </w:p>
          <w:p w:rsidR="00C1529D" w:rsidRPr="0055250A" w:rsidRDefault="00C1529D" w:rsidP="00866668">
            <w:pPr>
              <w:jc w:val="both"/>
              <w:rPr>
                <w:sz w:val="22"/>
                <w:szCs w:val="22"/>
              </w:rPr>
            </w:pPr>
          </w:p>
          <w:p w:rsidR="00C1529D" w:rsidRPr="0055250A" w:rsidRDefault="00C1529D" w:rsidP="00866668">
            <w:pPr>
              <w:jc w:val="both"/>
              <w:rPr>
                <w:sz w:val="22"/>
                <w:szCs w:val="22"/>
              </w:rPr>
            </w:pPr>
            <w:r w:rsidRPr="0055250A">
              <w:rPr>
                <w:sz w:val="22"/>
                <w:szCs w:val="22"/>
              </w:rPr>
              <w:t xml:space="preserve"> _____________________ </w:t>
            </w:r>
            <w:r>
              <w:rPr>
                <w:sz w:val="22"/>
                <w:szCs w:val="22"/>
              </w:rPr>
              <w:t xml:space="preserve">В.В. </w:t>
            </w:r>
            <w:proofErr w:type="spellStart"/>
            <w:r>
              <w:rPr>
                <w:sz w:val="22"/>
                <w:szCs w:val="22"/>
              </w:rPr>
              <w:t>Тюрлик</w:t>
            </w:r>
            <w:proofErr w:type="spellEnd"/>
          </w:p>
          <w:p w:rsidR="00C1529D" w:rsidRPr="0055250A" w:rsidRDefault="00C1529D" w:rsidP="00866668">
            <w:pPr>
              <w:jc w:val="both"/>
              <w:rPr>
                <w:sz w:val="22"/>
                <w:szCs w:val="22"/>
              </w:rPr>
            </w:pPr>
            <w:r w:rsidRPr="0055250A">
              <w:rPr>
                <w:sz w:val="22"/>
                <w:szCs w:val="22"/>
              </w:rPr>
              <w:t>«_____»______</w:t>
            </w:r>
            <w:r w:rsidR="007C131B">
              <w:rPr>
                <w:sz w:val="22"/>
                <w:szCs w:val="22"/>
              </w:rPr>
              <w:t>__________2013</w:t>
            </w:r>
            <w:r w:rsidRPr="0055250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962" w:type="dxa"/>
          </w:tcPr>
          <w:p w:rsidR="00C1529D" w:rsidRPr="0055250A" w:rsidRDefault="00C1529D" w:rsidP="00866668">
            <w:pPr>
              <w:jc w:val="both"/>
              <w:rPr>
                <w:sz w:val="22"/>
                <w:szCs w:val="22"/>
              </w:rPr>
            </w:pPr>
            <w:r w:rsidRPr="0055250A">
              <w:rPr>
                <w:sz w:val="22"/>
                <w:szCs w:val="22"/>
              </w:rPr>
              <w:t xml:space="preserve">                               </w:t>
            </w:r>
          </w:p>
          <w:p w:rsidR="00C1529D" w:rsidRPr="0055250A" w:rsidRDefault="00C1529D" w:rsidP="00866668">
            <w:pPr>
              <w:jc w:val="both"/>
              <w:rPr>
                <w:sz w:val="22"/>
                <w:szCs w:val="22"/>
              </w:rPr>
            </w:pPr>
          </w:p>
          <w:p w:rsidR="00C1529D" w:rsidRPr="0055250A" w:rsidRDefault="00C1529D" w:rsidP="00866668">
            <w:pPr>
              <w:jc w:val="both"/>
              <w:rPr>
                <w:sz w:val="22"/>
                <w:szCs w:val="22"/>
              </w:rPr>
            </w:pPr>
          </w:p>
          <w:p w:rsidR="00C1529D" w:rsidRDefault="00C1529D" w:rsidP="00866668">
            <w:pPr>
              <w:jc w:val="both"/>
              <w:rPr>
                <w:sz w:val="22"/>
                <w:szCs w:val="22"/>
              </w:rPr>
            </w:pPr>
          </w:p>
          <w:p w:rsidR="00C1529D" w:rsidRPr="0055250A" w:rsidRDefault="00C1529D" w:rsidP="00866668">
            <w:pPr>
              <w:jc w:val="both"/>
              <w:rPr>
                <w:sz w:val="22"/>
                <w:szCs w:val="22"/>
              </w:rPr>
            </w:pPr>
            <w:r w:rsidRPr="0055250A">
              <w:rPr>
                <w:sz w:val="22"/>
                <w:szCs w:val="22"/>
              </w:rPr>
              <w:t>_________________</w:t>
            </w:r>
            <w:r>
              <w:rPr>
                <w:sz w:val="22"/>
                <w:szCs w:val="22"/>
              </w:rPr>
              <w:t xml:space="preserve">____ </w:t>
            </w:r>
          </w:p>
          <w:p w:rsidR="00C1529D" w:rsidRPr="0055250A" w:rsidRDefault="007C131B" w:rsidP="008666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«_____» _______________ 2013</w:t>
            </w:r>
            <w:r w:rsidR="00C1529D" w:rsidRPr="0055250A">
              <w:rPr>
                <w:sz w:val="22"/>
                <w:szCs w:val="22"/>
              </w:rPr>
              <w:t xml:space="preserve"> г.</w:t>
            </w:r>
          </w:p>
        </w:tc>
      </w:tr>
      <w:tr w:rsidR="00C1529D" w:rsidRPr="0055250A">
        <w:tblPrEx>
          <w:tblCellMar>
            <w:top w:w="0" w:type="dxa"/>
            <w:bottom w:w="0" w:type="dxa"/>
          </w:tblCellMar>
        </w:tblPrEx>
        <w:trPr>
          <w:gridBefore w:val="1"/>
          <w:wBefore w:w="70" w:type="dxa"/>
          <w:trHeight w:val="485"/>
        </w:trPr>
        <w:tc>
          <w:tcPr>
            <w:tcW w:w="4931" w:type="dxa"/>
          </w:tcPr>
          <w:p w:rsidR="00C1529D" w:rsidRPr="0055250A" w:rsidRDefault="00C1529D" w:rsidP="00866668">
            <w:pPr>
              <w:ind w:firstLine="709"/>
              <w:jc w:val="both"/>
              <w:rPr>
                <w:b/>
                <w:spacing w:val="10"/>
                <w:sz w:val="22"/>
                <w:szCs w:val="22"/>
              </w:rPr>
            </w:pPr>
          </w:p>
        </w:tc>
        <w:tc>
          <w:tcPr>
            <w:tcW w:w="5353" w:type="dxa"/>
            <w:gridSpan w:val="3"/>
          </w:tcPr>
          <w:p w:rsidR="00C1529D" w:rsidRPr="0055250A" w:rsidRDefault="00C1529D" w:rsidP="0086666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1529D" w:rsidRPr="0055250A">
        <w:tblPrEx>
          <w:tblCellMar>
            <w:top w:w="0" w:type="dxa"/>
            <w:bottom w:w="0" w:type="dxa"/>
          </w:tblCellMar>
        </w:tblPrEx>
        <w:trPr>
          <w:gridBefore w:val="1"/>
          <w:wBefore w:w="70" w:type="dxa"/>
          <w:trHeight w:val="363"/>
        </w:trPr>
        <w:tc>
          <w:tcPr>
            <w:tcW w:w="4931" w:type="dxa"/>
          </w:tcPr>
          <w:p w:rsidR="00C1529D" w:rsidRPr="0055250A" w:rsidRDefault="00C1529D" w:rsidP="00866668">
            <w:pPr>
              <w:jc w:val="both"/>
              <w:rPr>
                <w:spacing w:val="10"/>
                <w:sz w:val="22"/>
                <w:szCs w:val="22"/>
              </w:rPr>
            </w:pPr>
          </w:p>
        </w:tc>
        <w:tc>
          <w:tcPr>
            <w:tcW w:w="5353" w:type="dxa"/>
            <w:gridSpan w:val="3"/>
          </w:tcPr>
          <w:p w:rsidR="00C1529D" w:rsidRPr="0055250A" w:rsidRDefault="00C1529D" w:rsidP="00866668">
            <w:pPr>
              <w:jc w:val="both"/>
              <w:rPr>
                <w:sz w:val="22"/>
                <w:szCs w:val="22"/>
              </w:rPr>
            </w:pPr>
          </w:p>
        </w:tc>
      </w:tr>
      <w:tr w:rsidR="00C1529D" w:rsidRPr="0055250A">
        <w:tblPrEx>
          <w:tblCellMar>
            <w:top w:w="0" w:type="dxa"/>
            <w:bottom w:w="0" w:type="dxa"/>
          </w:tblCellMar>
        </w:tblPrEx>
        <w:trPr>
          <w:gridBefore w:val="1"/>
          <w:wBefore w:w="70" w:type="dxa"/>
          <w:trHeight w:val="365"/>
        </w:trPr>
        <w:tc>
          <w:tcPr>
            <w:tcW w:w="4931" w:type="dxa"/>
          </w:tcPr>
          <w:p w:rsidR="00C1529D" w:rsidRPr="0055250A" w:rsidRDefault="00C1529D" w:rsidP="00866668">
            <w:pPr>
              <w:jc w:val="both"/>
              <w:rPr>
                <w:spacing w:val="10"/>
                <w:sz w:val="22"/>
                <w:szCs w:val="22"/>
              </w:rPr>
            </w:pPr>
          </w:p>
        </w:tc>
        <w:tc>
          <w:tcPr>
            <w:tcW w:w="5353" w:type="dxa"/>
            <w:gridSpan w:val="3"/>
          </w:tcPr>
          <w:p w:rsidR="00C1529D" w:rsidRPr="0055250A" w:rsidRDefault="00C1529D" w:rsidP="00866668">
            <w:pPr>
              <w:jc w:val="both"/>
              <w:rPr>
                <w:sz w:val="22"/>
                <w:szCs w:val="22"/>
              </w:rPr>
            </w:pPr>
          </w:p>
        </w:tc>
      </w:tr>
      <w:tr w:rsidR="00C1529D" w:rsidRPr="0055250A">
        <w:tblPrEx>
          <w:tblCellMar>
            <w:top w:w="0" w:type="dxa"/>
            <w:bottom w:w="0" w:type="dxa"/>
          </w:tblCellMar>
        </w:tblPrEx>
        <w:trPr>
          <w:gridBefore w:val="1"/>
          <w:wBefore w:w="70" w:type="dxa"/>
          <w:trHeight w:val="516"/>
        </w:trPr>
        <w:tc>
          <w:tcPr>
            <w:tcW w:w="4931" w:type="dxa"/>
          </w:tcPr>
          <w:p w:rsidR="00C1529D" w:rsidRPr="0055250A" w:rsidRDefault="00C1529D" w:rsidP="00866668">
            <w:pPr>
              <w:jc w:val="both"/>
              <w:rPr>
                <w:spacing w:val="10"/>
                <w:sz w:val="22"/>
                <w:szCs w:val="22"/>
              </w:rPr>
            </w:pPr>
          </w:p>
        </w:tc>
        <w:tc>
          <w:tcPr>
            <w:tcW w:w="5353" w:type="dxa"/>
            <w:gridSpan w:val="3"/>
          </w:tcPr>
          <w:p w:rsidR="00C1529D" w:rsidRPr="0055250A" w:rsidRDefault="00C1529D" w:rsidP="00866668">
            <w:pPr>
              <w:ind w:left="811"/>
              <w:jc w:val="both"/>
              <w:rPr>
                <w:sz w:val="22"/>
                <w:szCs w:val="22"/>
              </w:rPr>
            </w:pPr>
          </w:p>
        </w:tc>
      </w:tr>
    </w:tbl>
    <w:p w:rsidR="00C1529D" w:rsidRPr="0055250A" w:rsidRDefault="00C1529D" w:rsidP="00C1529D">
      <w:pPr>
        <w:jc w:val="both"/>
        <w:rPr>
          <w:sz w:val="22"/>
          <w:szCs w:val="22"/>
        </w:rPr>
      </w:pPr>
    </w:p>
    <w:p w:rsidR="00C1529D" w:rsidRDefault="00C1529D" w:rsidP="00CD7C01">
      <w:pPr>
        <w:ind w:firstLine="709"/>
        <w:jc w:val="both"/>
        <w:rPr>
          <w:sz w:val="22"/>
          <w:szCs w:val="22"/>
        </w:rPr>
      </w:pPr>
    </w:p>
    <w:p w:rsidR="004F1552" w:rsidRDefault="004F1552" w:rsidP="00CD7C01">
      <w:pPr>
        <w:ind w:firstLine="709"/>
        <w:jc w:val="both"/>
        <w:rPr>
          <w:sz w:val="22"/>
          <w:szCs w:val="22"/>
        </w:rPr>
      </w:pPr>
    </w:p>
    <w:p w:rsidR="004F1552" w:rsidRDefault="004F1552" w:rsidP="00CD7C01">
      <w:pPr>
        <w:ind w:firstLine="709"/>
        <w:jc w:val="both"/>
        <w:rPr>
          <w:sz w:val="22"/>
          <w:szCs w:val="22"/>
        </w:rPr>
      </w:pPr>
    </w:p>
    <w:p w:rsidR="004F1552" w:rsidRDefault="004F1552" w:rsidP="00CD7C01">
      <w:pPr>
        <w:ind w:firstLine="709"/>
        <w:jc w:val="both"/>
        <w:rPr>
          <w:sz w:val="22"/>
          <w:szCs w:val="22"/>
        </w:rPr>
      </w:pPr>
    </w:p>
    <w:p w:rsidR="004F1552" w:rsidRDefault="004F1552" w:rsidP="00CD7C01">
      <w:pPr>
        <w:ind w:firstLine="709"/>
        <w:jc w:val="both"/>
        <w:rPr>
          <w:sz w:val="22"/>
          <w:szCs w:val="22"/>
        </w:rPr>
      </w:pPr>
    </w:p>
    <w:p w:rsidR="004F1552" w:rsidRDefault="004F1552" w:rsidP="00CD7C01">
      <w:pPr>
        <w:ind w:firstLine="709"/>
        <w:jc w:val="both"/>
        <w:rPr>
          <w:sz w:val="22"/>
          <w:szCs w:val="22"/>
        </w:rPr>
      </w:pPr>
    </w:p>
    <w:p w:rsidR="004F1552" w:rsidRDefault="004F1552" w:rsidP="00CD7C01">
      <w:pPr>
        <w:ind w:firstLine="709"/>
        <w:jc w:val="both"/>
        <w:rPr>
          <w:sz w:val="22"/>
          <w:szCs w:val="22"/>
        </w:rPr>
      </w:pPr>
    </w:p>
    <w:p w:rsidR="004F1552" w:rsidRDefault="004F1552" w:rsidP="00CD7C01">
      <w:pPr>
        <w:ind w:firstLine="709"/>
        <w:jc w:val="both"/>
        <w:rPr>
          <w:sz w:val="22"/>
          <w:szCs w:val="22"/>
        </w:rPr>
      </w:pPr>
    </w:p>
    <w:p w:rsidR="004F1552" w:rsidRDefault="004F1552" w:rsidP="00CD7C01">
      <w:pPr>
        <w:ind w:firstLine="709"/>
        <w:jc w:val="both"/>
        <w:rPr>
          <w:sz w:val="22"/>
          <w:szCs w:val="22"/>
        </w:rPr>
      </w:pPr>
    </w:p>
    <w:p w:rsidR="004F1552" w:rsidRDefault="004F1552" w:rsidP="00CD7C01">
      <w:pPr>
        <w:ind w:firstLine="709"/>
        <w:jc w:val="both"/>
        <w:rPr>
          <w:sz w:val="22"/>
          <w:szCs w:val="22"/>
        </w:rPr>
      </w:pPr>
    </w:p>
    <w:p w:rsidR="004F1552" w:rsidRDefault="004F1552" w:rsidP="00CD7C01">
      <w:pPr>
        <w:ind w:firstLine="709"/>
        <w:jc w:val="both"/>
        <w:rPr>
          <w:sz w:val="22"/>
          <w:szCs w:val="22"/>
        </w:rPr>
      </w:pPr>
    </w:p>
    <w:p w:rsidR="004F1552" w:rsidRDefault="004F1552" w:rsidP="00CD7C01">
      <w:pPr>
        <w:ind w:firstLine="709"/>
        <w:jc w:val="both"/>
        <w:rPr>
          <w:sz w:val="22"/>
          <w:szCs w:val="22"/>
        </w:rPr>
      </w:pPr>
    </w:p>
    <w:p w:rsidR="004F1552" w:rsidRDefault="004F1552" w:rsidP="00CD7C01">
      <w:pPr>
        <w:ind w:firstLine="709"/>
        <w:jc w:val="both"/>
        <w:rPr>
          <w:sz w:val="22"/>
          <w:szCs w:val="22"/>
        </w:rPr>
      </w:pPr>
    </w:p>
    <w:p w:rsidR="004F1552" w:rsidRDefault="004F1552" w:rsidP="00CD7C01">
      <w:pPr>
        <w:ind w:firstLine="709"/>
        <w:jc w:val="both"/>
        <w:rPr>
          <w:sz w:val="22"/>
          <w:szCs w:val="22"/>
        </w:rPr>
      </w:pPr>
    </w:p>
    <w:p w:rsidR="004F1552" w:rsidRDefault="004F1552" w:rsidP="00CD7C01">
      <w:pPr>
        <w:ind w:firstLine="709"/>
        <w:jc w:val="both"/>
        <w:rPr>
          <w:sz w:val="22"/>
          <w:szCs w:val="22"/>
        </w:rPr>
      </w:pPr>
    </w:p>
    <w:p w:rsidR="004F1552" w:rsidRDefault="004F1552" w:rsidP="00CD7C01">
      <w:pPr>
        <w:ind w:firstLine="709"/>
        <w:jc w:val="both"/>
        <w:rPr>
          <w:sz w:val="22"/>
          <w:szCs w:val="22"/>
        </w:rPr>
      </w:pPr>
    </w:p>
    <w:p w:rsidR="004F1552" w:rsidRDefault="004F1552" w:rsidP="00CD7C01">
      <w:pPr>
        <w:ind w:firstLine="709"/>
        <w:jc w:val="both"/>
        <w:rPr>
          <w:sz w:val="22"/>
          <w:szCs w:val="22"/>
        </w:rPr>
      </w:pPr>
    </w:p>
    <w:p w:rsidR="004F1552" w:rsidRDefault="004F1552" w:rsidP="00CD7C01">
      <w:pPr>
        <w:ind w:firstLine="709"/>
        <w:jc w:val="both"/>
        <w:rPr>
          <w:sz w:val="22"/>
          <w:szCs w:val="22"/>
        </w:rPr>
      </w:pPr>
    </w:p>
    <w:p w:rsidR="004F1552" w:rsidRPr="00CD7C01" w:rsidRDefault="004F1552" w:rsidP="004F1552">
      <w:pPr>
        <w:ind w:firstLine="709"/>
        <w:jc w:val="center"/>
        <w:rPr>
          <w:b/>
          <w:sz w:val="22"/>
          <w:szCs w:val="22"/>
        </w:rPr>
      </w:pPr>
      <w:r w:rsidRPr="00CD7C01">
        <w:rPr>
          <w:b/>
          <w:sz w:val="22"/>
          <w:szCs w:val="22"/>
        </w:rPr>
        <w:t>ДОГОВОР О ЗАДАТКЕ</w:t>
      </w:r>
      <w:r>
        <w:rPr>
          <w:b/>
          <w:sz w:val="22"/>
          <w:szCs w:val="22"/>
        </w:rPr>
        <w:t xml:space="preserve"> </w:t>
      </w:r>
    </w:p>
    <w:p w:rsidR="004F1552" w:rsidRDefault="004F1552" w:rsidP="004F1552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4F1552" w:rsidRPr="00CD7C01" w:rsidRDefault="004F1552" w:rsidP="004F1552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г. Петрозаводск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D7C01">
        <w:rPr>
          <w:sz w:val="22"/>
          <w:szCs w:val="22"/>
        </w:rPr>
        <w:t>«__</w:t>
      </w:r>
      <w:r>
        <w:rPr>
          <w:sz w:val="22"/>
          <w:szCs w:val="22"/>
        </w:rPr>
        <w:t>_</w:t>
      </w:r>
      <w:r w:rsidRPr="00CD7C01">
        <w:rPr>
          <w:sz w:val="22"/>
          <w:szCs w:val="22"/>
        </w:rPr>
        <w:t>_» ______</w:t>
      </w:r>
      <w:r>
        <w:rPr>
          <w:sz w:val="22"/>
          <w:szCs w:val="22"/>
        </w:rPr>
        <w:t>______</w:t>
      </w:r>
      <w:r w:rsidRPr="00CD7C01">
        <w:rPr>
          <w:sz w:val="22"/>
          <w:szCs w:val="22"/>
        </w:rPr>
        <w:t>201</w:t>
      </w:r>
      <w:r>
        <w:rPr>
          <w:sz w:val="22"/>
          <w:szCs w:val="22"/>
        </w:rPr>
        <w:t xml:space="preserve">3 </w:t>
      </w:r>
      <w:r w:rsidRPr="00CD7C01">
        <w:rPr>
          <w:sz w:val="22"/>
          <w:szCs w:val="22"/>
        </w:rPr>
        <w:t>г.</w:t>
      </w:r>
    </w:p>
    <w:p w:rsidR="004F1552" w:rsidRPr="00CD7C01" w:rsidRDefault="004F1552" w:rsidP="004F1552">
      <w:pPr>
        <w:ind w:firstLine="709"/>
        <w:jc w:val="both"/>
        <w:rPr>
          <w:sz w:val="22"/>
          <w:szCs w:val="22"/>
        </w:rPr>
      </w:pPr>
    </w:p>
    <w:p w:rsidR="004F1552" w:rsidRPr="0055250A" w:rsidRDefault="004F1552" w:rsidP="004F1552">
      <w:pPr>
        <w:ind w:firstLine="709"/>
        <w:jc w:val="both"/>
        <w:rPr>
          <w:sz w:val="22"/>
          <w:szCs w:val="22"/>
        </w:rPr>
      </w:pPr>
      <w:r w:rsidRPr="0055250A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______________________________________________________________________________________________________________________________________________________________________________________________________________________________________________________________________________, именуемый в дальнейшем </w:t>
      </w:r>
      <w:r w:rsidRPr="0055250A">
        <w:rPr>
          <w:b/>
          <w:sz w:val="22"/>
          <w:szCs w:val="22"/>
        </w:rPr>
        <w:t>«Заявитель»</w:t>
      </w:r>
      <w:r w:rsidRPr="0055250A">
        <w:rPr>
          <w:sz w:val="22"/>
          <w:szCs w:val="22"/>
        </w:rPr>
        <w:t xml:space="preserve">,  с одной стороны, и </w:t>
      </w:r>
    </w:p>
    <w:p w:rsidR="004F1552" w:rsidRPr="0055250A" w:rsidRDefault="004F1552" w:rsidP="004F1552">
      <w:pPr>
        <w:jc w:val="both"/>
        <w:rPr>
          <w:sz w:val="22"/>
          <w:szCs w:val="22"/>
        </w:rPr>
      </w:pPr>
      <w:r w:rsidRPr="0055250A">
        <w:rPr>
          <w:b/>
          <w:sz w:val="22"/>
          <w:szCs w:val="22"/>
        </w:rPr>
        <w:t>Конкурсный управляющий</w:t>
      </w:r>
      <w:r>
        <w:rPr>
          <w:b/>
          <w:sz w:val="22"/>
          <w:szCs w:val="22"/>
        </w:rPr>
        <w:t xml:space="preserve"> ФГУП ОПХ «</w:t>
      </w:r>
      <w:proofErr w:type="spellStart"/>
      <w:r>
        <w:rPr>
          <w:b/>
          <w:sz w:val="22"/>
          <w:szCs w:val="22"/>
        </w:rPr>
        <w:t>Вилга</w:t>
      </w:r>
      <w:proofErr w:type="spellEnd"/>
      <w:r>
        <w:rPr>
          <w:b/>
          <w:sz w:val="22"/>
          <w:szCs w:val="22"/>
        </w:rPr>
        <w:t xml:space="preserve">» </w:t>
      </w:r>
      <w:proofErr w:type="spellStart"/>
      <w:r>
        <w:rPr>
          <w:b/>
          <w:sz w:val="22"/>
          <w:szCs w:val="22"/>
        </w:rPr>
        <w:t>Тюрлик</w:t>
      </w:r>
      <w:proofErr w:type="spellEnd"/>
      <w:r>
        <w:rPr>
          <w:b/>
          <w:sz w:val="22"/>
          <w:szCs w:val="22"/>
        </w:rPr>
        <w:t xml:space="preserve"> В.В.</w:t>
      </w:r>
      <w:r w:rsidRPr="0055250A">
        <w:rPr>
          <w:sz w:val="22"/>
          <w:szCs w:val="22"/>
        </w:rPr>
        <w:t>, именуемый</w:t>
      </w:r>
      <w:r w:rsidRPr="0055250A">
        <w:rPr>
          <w:b/>
          <w:sz w:val="22"/>
          <w:szCs w:val="22"/>
        </w:rPr>
        <w:t xml:space="preserve"> </w:t>
      </w:r>
      <w:r w:rsidRPr="0055250A">
        <w:rPr>
          <w:sz w:val="22"/>
          <w:szCs w:val="22"/>
        </w:rPr>
        <w:t>в дальнейшем</w:t>
      </w:r>
      <w:r w:rsidRPr="0055250A">
        <w:rPr>
          <w:b/>
          <w:sz w:val="22"/>
          <w:szCs w:val="22"/>
        </w:rPr>
        <w:t xml:space="preserve"> </w:t>
      </w:r>
      <w:r w:rsidRPr="0055250A">
        <w:rPr>
          <w:sz w:val="22"/>
          <w:szCs w:val="22"/>
        </w:rPr>
        <w:t>«</w:t>
      </w:r>
      <w:r w:rsidRPr="0055250A">
        <w:rPr>
          <w:b/>
          <w:sz w:val="22"/>
          <w:szCs w:val="22"/>
        </w:rPr>
        <w:t>Организатор торгов</w:t>
      </w:r>
      <w:r w:rsidRPr="0055250A">
        <w:rPr>
          <w:sz w:val="22"/>
          <w:szCs w:val="22"/>
        </w:rPr>
        <w:t xml:space="preserve">», </w:t>
      </w:r>
      <w:r>
        <w:rPr>
          <w:sz w:val="22"/>
          <w:szCs w:val="22"/>
        </w:rPr>
        <w:t>действующий</w:t>
      </w:r>
      <w:r w:rsidRPr="004D47B7">
        <w:rPr>
          <w:sz w:val="22"/>
          <w:szCs w:val="22"/>
        </w:rPr>
        <w:t xml:space="preserve"> на основании</w:t>
      </w:r>
      <w:r>
        <w:rPr>
          <w:sz w:val="22"/>
          <w:szCs w:val="22"/>
        </w:rPr>
        <w:t>:</w:t>
      </w:r>
      <w:r w:rsidRPr="004D47B7">
        <w:rPr>
          <w:sz w:val="22"/>
          <w:szCs w:val="22"/>
        </w:rPr>
        <w:t xml:space="preserve"> </w:t>
      </w:r>
      <w:proofErr w:type="gramStart"/>
      <w:r w:rsidRPr="004D47B7">
        <w:rPr>
          <w:sz w:val="22"/>
          <w:szCs w:val="22"/>
        </w:rPr>
        <w:t>Решения Арбитражного суда Республики</w:t>
      </w:r>
      <w:r>
        <w:rPr>
          <w:sz w:val="22"/>
          <w:szCs w:val="22"/>
        </w:rPr>
        <w:t xml:space="preserve"> Карелия от 26.11.2009, Определения </w:t>
      </w:r>
      <w:r w:rsidRPr="004D47B7">
        <w:rPr>
          <w:sz w:val="22"/>
          <w:szCs w:val="22"/>
        </w:rPr>
        <w:t>Арбит</w:t>
      </w:r>
      <w:r>
        <w:rPr>
          <w:sz w:val="22"/>
          <w:szCs w:val="22"/>
        </w:rPr>
        <w:t xml:space="preserve">ражного суда Республики Карелия от 26.05.2010, Определения </w:t>
      </w:r>
      <w:r w:rsidRPr="004D47B7">
        <w:rPr>
          <w:sz w:val="22"/>
          <w:szCs w:val="22"/>
        </w:rPr>
        <w:t>Арбит</w:t>
      </w:r>
      <w:r>
        <w:rPr>
          <w:sz w:val="22"/>
          <w:szCs w:val="22"/>
        </w:rPr>
        <w:t xml:space="preserve">ражного суда Республики Карелия от 24.11.2010, Определения </w:t>
      </w:r>
      <w:r w:rsidRPr="004D47B7">
        <w:rPr>
          <w:sz w:val="22"/>
          <w:szCs w:val="22"/>
        </w:rPr>
        <w:t>Арбит</w:t>
      </w:r>
      <w:r>
        <w:rPr>
          <w:sz w:val="22"/>
          <w:szCs w:val="22"/>
        </w:rPr>
        <w:t xml:space="preserve">ражного суда Республики Карелия от 25.05.2011, Определения </w:t>
      </w:r>
      <w:r w:rsidRPr="004D47B7">
        <w:rPr>
          <w:sz w:val="22"/>
          <w:szCs w:val="22"/>
        </w:rPr>
        <w:t>Арбит</w:t>
      </w:r>
      <w:r>
        <w:rPr>
          <w:sz w:val="22"/>
          <w:szCs w:val="22"/>
        </w:rPr>
        <w:t>ражного суда Республики Карелия от 23.11.2011,</w:t>
      </w:r>
      <w:r w:rsidRPr="008A596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Определения </w:t>
      </w:r>
      <w:r w:rsidRPr="004D47B7">
        <w:rPr>
          <w:sz w:val="22"/>
          <w:szCs w:val="22"/>
        </w:rPr>
        <w:t>Арбит</w:t>
      </w:r>
      <w:r>
        <w:rPr>
          <w:sz w:val="22"/>
          <w:szCs w:val="22"/>
        </w:rPr>
        <w:t>ражного суда Республики Карелия от 23.05.2012,</w:t>
      </w:r>
      <w:r w:rsidRPr="00C1529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Определения </w:t>
      </w:r>
      <w:r w:rsidRPr="004D47B7">
        <w:rPr>
          <w:sz w:val="22"/>
          <w:szCs w:val="22"/>
        </w:rPr>
        <w:t>Арбит</w:t>
      </w:r>
      <w:r>
        <w:rPr>
          <w:sz w:val="22"/>
          <w:szCs w:val="22"/>
        </w:rPr>
        <w:t xml:space="preserve">ражного суда Республики Карелия от 14.11.2012 (дело </w:t>
      </w:r>
      <w:r w:rsidRPr="004D47B7">
        <w:rPr>
          <w:sz w:val="22"/>
          <w:szCs w:val="22"/>
        </w:rPr>
        <w:t>№</w:t>
      </w:r>
      <w:r>
        <w:rPr>
          <w:sz w:val="22"/>
          <w:szCs w:val="22"/>
        </w:rPr>
        <w:t>А26-1950/2009</w:t>
      </w:r>
      <w:r w:rsidRPr="004D47B7">
        <w:rPr>
          <w:sz w:val="22"/>
          <w:szCs w:val="22"/>
        </w:rPr>
        <w:t>)</w:t>
      </w:r>
      <w:r w:rsidRPr="0055250A">
        <w:rPr>
          <w:sz w:val="22"/>
          <w:szCs w:val="22"/>
        </w:rPr>
        <w:t>, с другой стороны, заключили настоящий договор о нижеследующем:</w:t>
      </w:r>
      <w:proofErr w:type="gramEnd"/>
    </w:p>
    <w:p w:rsidR="004F1552" w:rsidRDefault="004F1552" w:rsidP="004F1552">
      <w:pPr>
        <w:ind w:firstLine="709"/>
        <w:jc w:val="both"/>
        <w:rPr>
          <w:sz w:val="22"/>
          <w:szCs w:val="22"/>
        </w:rPr>
      </w:pPr>
    </w:p>
    <w:p w:rsidR="004F1552" w:rsidRDefault="004F1552" w:rsidP="004F1552">
      <w:pPr>
        <w:ind w:firstLine="709"/>
        <w:jc w:val="both"/>
        <w:rPr>
          <w:sz w:val="22"/>
          <w:szCs w:val="22"/>
        </w:rPr>
      </w:pPr>
    </w:p>
    <w:p w:rsidR="004F1552" w:rsidRPr="00C1529D" w:rsidRDefault="004F1552" w:rsidP="004F1552">
      <w:pPr>
        <w:ind w:firstLine="709"/>
        <w:jc w:val="center"/>
        <w:rPr>
          <w:b/>
          <w:sz w:val="22"/>
          <w:szCs w:val="22"/>
        </w:rPr>
      </w:pPr>
      <w:r w:rsidRPr="00C1529D">
        <w:rPr>
          <w:b/>
          <w:sz w:val="22"/>
          <w:szCs w:val="22"/>
        </w:rPr>
        <w:t>1. ПРЕДМЕТ ДОГОВОРА</w:t>
      </w:r>
    </w:p>
    <w:p w:rsidR="004F1552" w:rsidRPr="00C1529D" w:rsidRDefault="004F1552" w:rsidP="004F1552">
      <w:pPr>
        <w:jc w:val="both"/>
        <w:rPr>
          <w:sz w:val="22"/>
          <w:szCs w:val="22"/>
        </w:rPr>
      </w:pPr>
      <w:r w:rsidRPr="00C1529D">
        <w:rPr>
          <w:sz w:val="22"/>
          <w:szCs w:val="22"/>
        </w:rPr>
        <w:t xml:space="preserve">1.1. </w:t>
      </w:r>
      <w:r w:rsidRPr="000A4AEB">
        <w:rPr>
          <w:b/>
          <w:sz w:val="22"/>
          <w:szCs w:val="22"/>
        </w:rPr>
        <w:t>Заявитель</w:t>
      </w:r>
      <w:r w:rsidRPr="000A4AEB">
        <w:rPr>
          <w:sz w:val="22"/>
          <w:szCs w:val="22"/>
        </w:rPr>
        <w:t xml:space="preserve"> для участия в открытых торгах  по продаже </w:t>
      </w:r>
      <w:r w:rsidRPr="000A4AEB">
        <w:rPr>
          <w:b/>
          <w:sz w:val="22"/>
          <w:szCs w:val="22"/>
        </w:rPr>
        <w:t>Лота №2:</w:t>
      </w:r>
      <w:r w:rsidRPr="000A4AEB">
        <w:rPr>
          <w:sz w:val="22"/>
          <w:szCs w:val="22"/>
        </w:rPr>
        <w:t xml:space="preserve"> Кузница, общая площадь 201,5 кв.м.</w:t>
      </w:r>
      <w:r>
        <w:rPr>
          <w:sz w:val="22"/>
          <w:szCs w:val="22"/>
        </w:rPr>
        <w:t>, принадлежащая ФГУП ОПХ «</w:t>
      </w:r>
      <w:proofErr w:type="spellStart"/>
      <w:r>
        <w:rPr>
          <w:sz w:val="22"/>
          <w:szCs w:val="22"/>
        </w:rPr>
        <w:t>Вилга</w:t>
      </w:r>
      <w:proofErr w:type="spellEnd"/>
      <w:r>
        <w:rPr>
          <w:sz w:val="22"/>
          <w:szCs w:val="22"/>
        </w:rPr>
        <w:t>», расположенная</w:t>
      </w:r>
      <w:r w:rsidRPr="000A4AEB">
        <w:rPr>
          <w:sz w:val="22"/>
          <w:szCs w:val="22"/>
        </w:rPr>
        <w:t xml:space="preserve"> по адресу: </w:t>
      </w:r>
      <w:proofErr w:type="gramStart"/>
      <w:r w:rsidRPr="000A4AEB">
        <w:rPr>
          <w:sz w:val="22"/>
          <w:szCs w:val="22"/>
        </w:rPr>
        <w:t xml:space="preserve">РК, </w:t>
      </w:r>
      <w:proofErr w:type="spellStart"/>
      <w:r w:rsidRPr="000A4AEB">
        <w:rPr>
          <w:sz w:val="22"/>
          <w:szCs w:val="22"/>
        </w:rPr>
        <w:t>Прионежский</w:t>
      </w:r>
      <w:proofErr w:type="spellEnd"/>
      <w:r w:rsidRPr="000A4AEB">
        <w:rPr>
          <w:sz w:val="22"/>
          <w:szCs w:val="22"/>
        </w:rPr>
        <w:t xml:space="preserve"> район, сельское поселение </w:t>
      </w:r>
      <w:proofErr w:type="spellStart"/>
      <w:r w:rsidRPr="000A4AEB">
        <w:rPr>
          <w:sz w:val="22"/>
          <w:szCs w:val="22"/>
        </w:rPr>
        <w:t>Нововилговское</w:t>
      </w:r>
      <w:proofErr w:type="spellEnd"/>
      <w:r w:rsidRPr="000A4AEB">
        <w:rPr>
          <w:sz w:val="22"/>
          <w:szCs w:val="22"/>
        </w:rPr>
        <w:t xml:space="preserve">, п. Новая </w:t>
      </w:r>
      <w:proofErr w:type="spellStart"/>
      <w:r w:rsidRPr="000A4AEB">
        <w:rPr>
          <w:sz w:val="22"/>
          <w:szCs w:val="22"/>
        </w:rPr>
        <w:t>Вилга</w:t>
      </w:r>
      <w:proofErr w:type="spellEnd"/>
      <w:r w:rsidRPr="000A4AEB">
        <w:rPr>
          <w:sz w:val="22"/>
          <w:szCs w:val="22"/>
        </w:rPr>
        <w:t xml:space="preserve">, пер. Производственный (далее - «Имущество»), проводимых 13 марта 2013 г. на электронной площадке (ЭП) ОАО «Российский аукционный дом» по адресу: </w:t>
      </w:r>
      <w:hyperlink r:id="rId8" w:history="1">
        <w:r w:rsidRPr="000A4AEB">
          <w:rPr>
            <w:rStyle w:val="aa"/>
            <w:sz w:val="22"/>
            <w:szCs w:val="22"/>
          </w:rPr>
          <w:t>http://lot-online.ru</w:t>
        </w:r>
      </w:hyperlink>
      <w:r w:rsidRPr="000A4AEB">
        <w:rPr>
          <w:sz w:val="22"/>
          <w:szCs w:val="22"/>
        </w:rPr>
        <w:t xml:space="preserve">, перечисляет денежные средства в сумме </w:t>
      </w:r>
      <w:r w:rsidRPr="000A4AEB">
        <w:rPr>
          <w:b/>
          <w:sz w:val="22"/>
          <w:szCs w:val="22"/>
        </w:rPr>
        <w:t>16 927 (шестнадцать тысяч девятьсот двадцать семь) рублей</w:t>
      </w:r>
      <w:r w:rsidRPr="000A4AEB">
        <w:rPr>
          <w:sz w:val="22"/>
          <w:szCs w:val="22"/>
        </w:rPr>
        <w:t xml:space="preserve"> (далее – «Задаток»), а </w:t>
      </w:r>
      <w:r w:rsidRPr="000A4AEB">
        <w:rPr>
          <w:b/>
          <w:sz w:val="22"/>
          <w:szCs w:val="22"/>
        </w:rPr>
        <w:t>Организатор торгов</w:t>
      </w:r>
      <w:r w:rsidRPr="000A4AEB">
        <w:rPr>
          <w:sz w:val="22"/>
          <w:szCs w:val="22"/>
        </w:rPr>
        <w:t xml:space="preserve"> принимает задаток на расчетный счет № 40502810200123947857 в Петрозаводский филиал ОАО «Балтийский</w:t>
      </w:r>
      <w:proofErr w:type="gramEnd"/>
      <w:r w:rsidRPr="000A4AEB">
        <w:rPr>
          <w:sz w:val="22"/>
          <w:szCs w:val="22"/>
        </w:rPr>
        <w:t xml:space="preserve"> Банк» г. Петрозаводск, БИК 048602752; </w:t>
      </w:r>
      <w:proofErr w:type="gramStart"/>
      <w:r w:rsidRPr="000A4AEB">
        <w:rPr>
          <w:sz w:val="22"/>
          <w:szCs w:val="22"/>
        </w:rPr>
        <w:t>к</w:t>
      </w:r>
      <w:proofErr w:type="gramEnd"/>
      <w:r w:rsidRPr="000A4AEB">
        <w:rPr>
          <w:sz w:val="22"/>
          <w:szCs w:val="22"/>
        </w:rPr>
        <w:t>/с</w:t>
      </w:r>
      <w:r w:rsidRPr="00C1529D">
        <w:rPr>
          <w:sz w:val="22"/>
          <w:szCs w:val="22"/>
        </w:rPr>
        <w:t xml:space="preserve"> 30101810000000000752, </w:t>
      </w:r>
      <w:r w:rsidRPr="00C1529D">
        <w:rPr>
          <w:b/>
          <w:sz w:val="22"/>
          <w:szCs w:val="22"/>
        </w:rPr>
        <w:t xml:space="preserve">Получатель: </w:t>
      </w:r>
      <w:r w:rsidRPr="00C1529D">
        <w:rPr>
          <w:sz w:val="22"/>
          <w:szCs w:val="22"/>
        </w:rPr>
        <w:t>ФГУП ОПХ «</w:t>
      </w:r>
      <w:proofErr w:type="spellStart"/>
      <w:r w:rsidRPr="00C1529D">
        <w:rPr>
          <w:sz w:val="22"/>
          <w:szCs w:val="22"/>
        </w:rPr>
        <w:t>Вилга</w:t>
      </w:r>
      <w:proofErr w:type="spellEnd"/>
      <w:r w:rsidRPr="00C1529D">
        <w:rPr>
          <w:sz w:val="22"/>
          <w:szCs w:val="22"/>
        </w:rPr>
        <w:t xml:space="preserve">» ИНН 1020001438 КПП 102001001. </w:t>
      </w:r>
    </w:p>
    <w:p w:rsidR="004F1552" w:rsidRPr="00C1529D" w:rsidRDefault="004F1552" w:rsidP="004F1552">
      <w:pPr>
        <w:jc w:val="both"/>
        <w:rPr>
          <w:sz w:val="22"/>
          <w:szCs w:val="22"/>
        </w:rPr>
      </w:pPr>
      <w:r w:rsidRPr="00C1529D">
        <w:rPr>
          <w:sz w:val="22"/>
          <w:szCs w:val="22"/>
        </w:rPr>
        <w:t xml:space="preserve">1.2. Указанный Задаток вносится Заявителем в качестве обеспечения обязательств по участию в Торгах и оплате имущества, в случае признания Заявителя победителем Торгов, в соответствии с подаваемой им заявкой на участие в Торгах и Договором. </w:t>
      </w:r>
    </w:p>
    <w:p w:rsidR="004F1552" w:rsidRPr="008A5964" w:rsidRDefault="004F1552" w:rsidP="004F1552">
      <w:pPr>
        <w:jc w:val="both"/>
        <w:rPr>
          <w:sz w:val="22"/>
          <w:szCs w:val="22"/>
        </w:rPr>
      </w:pPr>
      <w:r w:rsidRPr="00C1529D">
        <w:rPr>
          <w:sz w:val="22"/>
          <w:szCs w:val="22"/>
        </w:rPr>
        <w:t>1.3. Для участия в открытых</w:t>
      </w:r>
      <w:r w:rsidRPr="00305248">
        <w:rPr>
          <w:sz w:val="22"/>
          <w:szCs w:val="22"/>
        </w:rPr>
        <w:t xml:space="preserve"> торгах Заявитель</w:t>
      </w:r>
      <w:r>
        <w:rPr>
          <w:sz w:val="22"/>
          <w:szCs w:val="22"/>
        </w:rPr>
        <w:t xml:space="preserve"> представляет оператору Э</w:t>
      </w:r>
      <w:r w:rsidRPr="008A5964">
        <w:rPr>
          <w:sz w:val="22"/>
          <w:szCs w:val="22"/>
        </w:rPr>
        <w:t>П в электронной форме подписанный электронной цифровой подписью (ЭЦП) заявителя настоящий договор о задатке.</w:t>
      </w:r>
    </w:p>
    <w:p w:rsidR="004F1552" w:rsidRDefault="004F1552" w:rsidP="004F1552">
      <w:pPr>
        <w:jc w:val="both"/>
        <w:rPr>
          <w:sz w:val="22"/>
          <w:szCs w:val="22"/>
        </w:rPr>
      </w:pPr>
    </w:p>
    <w:p w:rsidR="004F1552" w:rsidRPr="008A5964" w:rsidRDefault="004F1552" w:rsidP="004F1552">
      <w:pPr>
        <w:ind w:firstLine="709"/>
        <w:jc w:val="center"/>
        <w:rPr>
          <w:b/>
          <w:sz w:val="22"/>
          <w:szCs w:val="22"/>
        </w:rPr>
      </w:pPr>
      <w:r w:rsidRPr="008A5964">
        <w:rPr>
          <w:b/>
          <w:sz w:val="22"/>
          <w:szCs w:val="22"/>
        </w:rPr>
        <w:t>2. ПОРЯДОК ВНЕСЕНИЯ ЗАДАТКА</w:t>
      </w:r>
    </w:p>
    <w:p w:rsidR="004F1552" w:rsidRPr="008A5964" w:rsidRDefault="004F1552" w:rsidP="004F1552">
      <w:pPr>
        <w:jc w:val="both"/>
        <w:rPr>
          <w:sz w:val="22"/>
          <w:szCs w:val="22"/>
        </w:rPr>
      </w:pPr>
      <w:r w:rsidRPr="008A5964">
        <w:rPr>
          <w:sz w:val="22"/>
          <w:szCs w:val="22"/>
        </w:rPr>
        <w:t>2.1. Задаток</w:t>
      </w:r>
      <w:r w:rsidRPr="008A5964">
        <w:rPr>
          <w:b/>
          <w:sz w:val="22"/>
          <w:szCs w:val="22"/>
        </w:rPr>
        <w:t xml:space="preserve"> </w:t>
      </w:r>
      <w:r w:rsidRPr="008A5964">
        <w:rPr>
          <w:sz w:val="22"/>
          <w:szCs w:val="22"/>
        </w:rPr>
        <w:t xml:space="preserve"> должен быть внесен Заявителем</w:t>
      </w:r>
      <w:r>
        <w:rPr>
          <w:sz w:val="22"/>
          <w:szCs w:val="22"/>
        </w:rPr>
        <w:t xml:space="preserve"> на указанный в п. 1.1. настоящего договора о задатке  р</w:t>
      </w:r>
      <w:r w:rsidRPr="008A5964">
        <w:rPr>
          <w:sz w:val="22"/>
          <w:szCs w:val="22"/>
        </w:rPr>
        <w:t>асчетный счет</w:t>
      </w:r>
      <w:r>
        <w:rPr>
          <w:sz w:val="22"/>
          <w:szCs w:val="22"/>
        </w:rPr>
        <w:t xml:space="preserve"> </w:t>
      </w:r>
      <w:r w:rsidRPr="008A5964">
        <w:rPr>
          <w:sz w:val="22"/>
          <w:szCs w:val="22"/>
        </w:rPr>
        <w:t xml:space="preserve"> </w:t>
      </w:r>
      <w:r w:rsidRPr="008A5964">
        <w:rPr>
          <w:b/>
          <w:sz w:val="22"/>
          <w:szCs w:val="22"/>
        </w:rPr>
        <w:t>до</w:t>
      </w:r>
      <w:r>
        <w:rPr>
          <w:b/>
          <w:sz w:val="22"/>
          <w:szCs w:val="22"/>
        </w:rPr>
        <w:t xml:space="preserve"> 06 марта 2013 г</w:t>
      </w:r>
      <w:r w:rsidRPr="008A5964">
        <w:rPr>
          <w:b/>
          <w:sz w:val="22"/>
          <w:szCs w:val="22"/>
        </w:rPr>
        <w:t>.,</w:t>
      </w:r>
      <w:r w:rsidRPr="008A5964">
        <w:rPr>
          <w:sz w:val="22"/>
          <w:szCs w:val="22"/>
        </w:rPr>
        <w:t xml:space="preserve"> и считается внесенным </w:t>
      </w:r>
      <w:proofErr w:type="gramStart"/>
      <w:r w:rsidRPr="008A5964">
        <w:rPr>
          <w:sz w:val="22"/>
          <w:szCs w:val="22"/>
        </w:rPr>
        <w:t xml:space="preserve">с </w:t>
      </w:r>
      <w:r>
        <w:rPr>
          <w:sz w:val="22"/>
          <w:szCs w:val="22"/>
        </w:rPr>
        <w:t>даты поступления</w:t>
      </w:r>
      <w:proofErr w:type="gramEnd"/>
      <w:r>
        <w:rPr>
          <w:sz w:val="22"/>
          <w:szCs w:val="22"/>
        </w:rPr>
        <w:t xml:space="preserve"> всей суммы задатка на указанный счет.</w:t>
      </w:r>
    </w:p>
    <w:p w:rsidR="004F1552" w:rsidRPr="008A5964" w:rsidRDefault="004F1552" w:rsidP="004F1552">
      <w:pPr>
        <w:jc w:val="both"/>
        <w:rPr>
          <w:sz w:val="22"/>
          <w:szCs w:val="22"/>
        </w:rPr>
      </w:pPr>
      <w:r w:rsidRPr="008A5964">
        <w:rPr>
          <w:sz w:val="22"/>
          <w:szCs w:val="22"/>
        </w:rPr>
        <w:t>2.2. Документами, подтверждающими внесение Задатка Заявителем на Расчетный счет, является выписка со счета организатора торгов, копия платежного поручения о перечисления Задатка, с отметкой банка.</w:t>
      </w:r>
    </w:p>
    <w:p w:rsidR="004F1552" w:rsidRPr="008A5964" w:rsidRDefault="004F1552" w:rsidP="004F1552">
      <w:pPr>
        <w:jc w:val="both"/>
        <w:rPr>
          <w:sz w:val="22"/>
          <w:szCs w:val="22"/>
        </w:rPr>
      </w:pPr>
      <w:r w:rsidRPr="008A5964">
        <w:rPr>
          <w:sz w:val="22"/>
          <w:szCs w:val="22"/>
        </w:rPr>
        <w:t xml:space="preserve">2.3. В случае не </w:t>
      </w:r>
      <w:r>
        <w:rPr>
          <w:sz w:val="22"/>
          <w:szCs w:val="22"/>
        </w:rPr>
        <w:t>поступления</w:t>
      </w:r>
      <w:r w:rsidRPr="008A5964">
        <w:rPr>
          <w:sz w:val="22"/>
          <w:szCs w:val="22"/>
        </w:rPr>
        <w:t xml:space="preserve"> в срок, предусмотренный п.2.1. Договора, Задатка на Расчетный счет, обязательства Заявителя по внесению Задатка считаются неисполненными, и Заявитель не регистрируется как участник Торгов. </w:t>
      </w:r>
    </w:p>
    <w:p w:rsidR="004F1552" w:rsidRPr="008A5964" w:rsidRDefault="004F1552" w:rsidP="004F1552">
      <w:pPr>
        <w:ind w:firstLine="709"/>
        <w:jc w:val="center"/>
        <w:rPr>
          <w:b/>
          <w:sz w:val="22"/>
          <w:szCs w:val="22"/>
        </w:rPr>
      </w:pPr>
      <w:r w:rsidRPr="008A5964">
        <w:rPr>
          <w:b/>
          <w:sz w:val="22"/>
          <w:szCs w:val="22"/>
        </w:rPr>
        <w:t>3. ВОЗВРАТ ЗАДАТКА</w:t>
      </w:r>
    </w:p>
    <w:p w:rsidR="004F1552" w:rsidRPr="0055250A" w:rsidRDefault="004F1552" w:rsidP="004F1552">
      <w:pPr>
        <w:jc w:val="both"/>
        <w:rPr>
          <w:sz w:val="22"/>
          <w:szCs w:val="22"/>
        </w:rPr>
      </w:pPr>
      <w:r w:rsidRPr="008A5964">
        <w:rPr>
          <w:sz w:val="22"/>
          <w:szCs w:val="22"/>
        </w:rPr>
        <w:t>3.1. В случае если Заявителю было отказано в допуске к участию в Торгах, Задаток ему возвращается Организатором торгов в течение 5 (Пяти) банковских дней с момента отправления</w:t>
      </w:r>
      <w:r w:rsidRPr="0055250A">
        <w:rPr>
          <w:sz w:val="22"/>
          <w:szCs w:val="22"/>
        </w:rPr>
        <w:t xml:space="preserve"> Организатором торгов уведомления об отказе в допуске к участию в Торгах, направленного Заявителю заказным письмом с уведомлением о вручении.</w:t>
      </w:r>
    </w:p>
    <w:p w:rsidR="004F1552" w:rsidRPr="0055250A" w:rsidRDefault="004F1552" w:rsidP="004F1552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55250A">
        <w:rPr>
          <w:sz w:val="22"/>
          <w:szCs w:val="22"/>
        </w:rPr>
        <w:t>3.2. В случае если Заявитель/участник торгов не признан победителем Торгов, Задаток ему возвращается Организатором торгов в течение 5 (Пяти) рабочих дней со дня подписания протокола о результатах проведения торгов.</w:t>
      </w:r>
    </w:p>
    <w:p w:rsidR="004F1552" w:rsidRPr="0055250A" w:rsidRDefault="004F1552" w:rsidP="004F1552">
      <w:pPr>
        <w:jc w:val="both"/>
        <w:rPr>
          <w:sz w:val="22"/>
          <w:szCs w:val="22"/>
        </w:rPr>
      </w:pPr>
      <w:r w:rsidRPr="0055250A">
        <w:rPr>
          <w:sz w:val="22"/>
          <w:szCs w:val="22"/>
        </w:rPr>
        <w:t xml:space="preserve">3.3. В случае отзыва Заявителем заявки на участие в Торгах до момента подведения итогов торгов (при отсутствии письменного заявления о зачете данного задатка в счет вновь поданной заявки), Задаток ему возвращается Организатором торгов в течение 5 (Пяти) банковских дней </w:t>
      </w:r>
      <w:proofErr w:type="gramStart"/>
      <w:r w:rsidRPr="0055250A">
        <w:rPr>
          <w:sz w:val="22"/>
          <w:szCs w:val="22"/>
        </w:rPr>
        <w:t>с даты получения</w:t>
      </w:r>
      <w:proofErr w:type="gramEnd"/>
      <w:r w:rsidRPr="0055250A">
        <w:rPr>
          <w:sz w:val="22"/>
          <w:szCs w:val="22"/>
        </w:rPr>
        <w:t xml:space="preserve"> Организатором торгов письменного уведомления от Заявителя об отзыве заявки.</w:t>
      </w:r>
    </w:p>
    <w:p w:rsidR="004F1552" w:rsidRPr="0055250A" w:rsidRDefault="004F1552" w:rsidP="004F15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 Возврат задатка осуществляется с расчетного счета, указанного в п. 1.2. настоящего Договора на </w:t>
      </w:r>
      <w:r w:rsidRPr="0055250A">
        <w:rPr>
          <w:sz w:val="22"/>
          <w:szCs w:val="22"/>
        </w:rPr>
        <w:t>счет Заявителя (участника торгов).</w:t>
      </w:r>
    </w:p>
    <w:p w:rsidR="004F1552" w:rsidRPr="0055250A" w:rsidRDefault="004F1552" w:rsidP="004F1552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55250A">
        <w:rPr>
          <w:sz w:val="22"/>
          <w:szCs w:val="22"/>
        </w:rPr>
        <w:lastRenderedPageBreak/>
        <w:t>3.</w:t>
      </w:r>
      <w:r>
        <w:rPr>
          <w:sz w:val="22"/>
          <w:szCs w:val="22"/>
        </w:rPr>
        <w:t>5</w:t>
      </w:r>
      <w:r w:rsidRPr="0055250A">
        <w:rPr>
          <w:sz w:val="22"/>
          <w:szCs w:val="22"/>
        </w:rPr>
        <w:t>. В случае если Заявитель/участник торгов, признанный победителем Торгов, уклоняется от  подписания Договора купли-продажи имущества в течение 5 (пяти) дней со дня получения предложения арбитражного управляющего о заключении такого договора, то Задаток ему не возвращается в соответствии с пунктом 16 статьи 110 ФЗ «О несостоятельности (банкротстве)».</w:t>
      </w:r>
    </w:p>
    <w:p w:rsidR="004F1552" w:rsidRPr="0055250A" w:rsidRDefault="004F1552" w:rsidP="004F1552">
      <w:pPr>
        <w:pStyle w:val="a4"/>
        <w:tabs>
          <w:tab w:val="num" w:pos="825"/>
        </w:tabs>
        <w:ind w:left="0"/>
        <w:rPr>
          <w:sz w:val="22"/>
          <w:szCs w:val="22"/>
        </w:rPr>
      </w:pPr>
      <w:r w:rsidRPr="0055250A">
        <w:rPr>
          <w:sz w:val="22"/>
          <w:szCs w:val="22"/>
        </w:rPr>
        <w:t>3.</w:t>
      </w:r>
      <w:r>
        <w:rPr>
          <w:sz w:val="22"/>
          <w:szCs w:val="22"/>
        </w:rPr>
        <w:t>6</w:t>
      </w:r>
      <w:r w:rsidRPr="0055250A">
        <w:rPr>
          <w:sz w:val="22"/>
          <w:szCs w:val="22"/>
        </w:rPr>
        <w:t>. В случае признания Заявителя/участника торгов победителем Торгов, сумма Задатка Заявителя/участника торгов  засчитывается в счет оплаты приобретаемого на Торгах имущества.</w:t>
      </w:r>
    </w:p>
    <w:p w:rsidR="004F1552" w:rsidRPr="0055250A" w:rsidRDefault="004F1552" w:rsidP="004F1552">
      <w:pPr>
        <w:ind w:firstLine="709"/>
        <w:jc w:val="center"/>
        <w:rPr>
          <w:b/>
          <w:sz w:val="22"/>
          <w:szCs w:val="22"/>
        </w:rPr>
      </w:pPr>
      <w:r w:rsidRPr="0055250A">
        <w:rPr>
          <w:b/>
          <w:sz w:val="22"/>
          <w:szCs w:val="22"/>
        </w:rPr>
        <w:t>4. СРОК ДЕЙСТВИЯ ДОГОВОРА</w:t>
      </w:r>
    </w:p>
    <w:p w:rsidR="004F1552" w:rsidRPr="0055250A" w:rsidRDefault="004F1552" w:rsidP="004F1552">
      <w:pPr>
        <w:pStyle w:val="a4"/>
        <w:tabs>
          <w:tab w:val="num" w:pos="720"/>
        </w:tabs>
        <w:ind w:left="0"/>
        <w:rPr>
          <w:sz w:val="22"/>
          <w:szCs w:val="22"/>
        </w:rPr>
      </w:pPr>
      <w:r w:rsidRPr="0055250A">
        <w:rPr>
          <w:sz w:val="22"/>
          <w:szCs w:val="22"/>
        </w:rPr>
        <w:t>4.1. Договор вступает в силу с момента подписания его сторонами и действует до полного исполнения сторонами обязательств в полном объеме, предусмотренных Договором.</w:t>
      </w:r>
    </w:p>
    <w:p w:rsidR="004F1552" w:rsidRPr="0055250A" w:rsidRDefault="004F1552" w:rsidP="004F1552">
      <w:pPr>
        <w:ind w:firstLine="709"/>
        <w:jc w:val="center"/>
        <w:rPr>
          <w:b/>
          <w:sz w:val="22"/>
          <w:szCs w:val="22"/>
        </w:rPr>
      </w:pPr>
      <w:r w:rsidRPr="0055250A">
        <w:rPr>
          <w:b/>
          <w:sz w:val="22"/>
          <w:szCs w:val="22"/>
        </w:rPr>
        <w:t>5. ПРОЧИЕ УСЛОВИЯ</w:t>
      </w:r>
    </w:p>
    <w:p w:rsidR="004F1552" w:rsidRPr="0055250A" w:rsidRDefault="004F1552" w:rsidP="004F1552">
      <w:pPr>
        <w:jc w:val="both"/>
        <w:rPr>
          <w:sz w:val="22"/>
          <w:szCs w:val="22"/>
        </w:rPr>
      </w:pPr>
      <w:r w:rsidRPr="0055250A">
        <w:rPr>
          <w:sz w:val="22"/>
          <w:szCs w:val="22"/>
        </w:rPr>
        <w:t>5.1. Настоящий Договор составлен и подписан в 2-х экземплярах, имеющих один</w:t>
      </w:r>
      <w:r w:rsidRPr="0055250A">
        <w:rPr>
          <w:sz w:val="22"/>
          <w:szCs w:val="22"/>
        </w:rPr>
        <w:t>а</w:t>
      </w:r>
      <w:r w:rsidRPr="0055250A">
        <w:rPr>
          <w:sz w:val="22"/>
          <w:szCs w:val="22"/>
        </w:rPr>
        <w:t xml:space="preserve">ковую юридическую силу, по одному экземпляру для каждой из сторон. </w:t>
      </w:r>
    </w:p>
    <w:p w:rsidR="004F1552" w:rsidRPr="0055250A" w:rsidRDefault="004F1552" w:rsidP="004F1552">
      <w:pPr>
        <w:jc w:val="both"/>
        <w:rPr>
          <w:sz w:val="22"/>
          <w:szCs w:val="22"/>
        </w:rPr>
      </w:pPr>
      <w:r w:rsidRPr="0055250A">
        <w:rPr>
          <w:sz w:val="22"/>
          <w:szCs w:val="22"/>
        </w:rPr>
        <w:t>5.2. Все изменения и дополнения к Договору считаются действител</w:t>
      </w:r>
      <w:r w:rsidRPr="0055250A">
        <w:rPr>
          <w:sz w:val="22"/>
          <w:szCs w:val="22"/>
        </w:rPr>
        <w:t>ь</w:t>
      </w:r>
      <w:r w:rsidRPr="0055250A">
        <w:rPr>
          <w:sz w:val="22"/>
          <w:szCs w:val="22"/>
        </w:rPr>
        <w:t>ными в случае, если они совершены в письменной форме и подписаны лицами, уполном</w:t>
      </w:r>
      <w:r w:rsidRPr="0055250A">
        <w:rPr>
          <w:sz w:val="22"/>
          <w:szCs w:val="22"/>
        </w:rPr>
        <w:t>о</w:t>
      </w:r>
      <w:r w:rsidRPr="0055250A">
        <w:rPr>
          <w:sz w:val="22"/>
          <w:szCs w:val="22"/>
        </w:rPr>
        <w:t>ченными на то Сторонами.</w:t>
      </w:r>
    </w:p>
    <w:p w:rsidR="004F1552" w:rsidRPr="0055250A" w:rsidRDefault="004F1552" w:rsidP="004F1552">
      <w:pPr>
        <w:jc w:val="both"/>
        <w:rPr>
          <w:sz w:val="22"/>
          <w:szCs w:val="22"/>
        </w:rPr>
      </w:pPr>
      <w:r w:rsidRPr="0055250A">
        <w:rPr>
          <w:sz w:val="22"/>
          <w:szCs w:val="22"/>
        </w:rPr>
        <w:t>5.3. Все вопросы, не урегулированные в Договоре, решаются в соответствии с де</w:t>
      </w:r>
      <w:r w:rsidRPr="0055250A">
        <w:rPr>
          <w:sz w:val="22"/>
          <w:szCs w:val="22"/>
        </w:rPr>
        <w:t>й</w:t>
      </w:r>
      <w:r w:rsidRPr="0055250A">
        <w:rPr>
          <w:sz w:val="22"/>
          <w:szCs w:val="22"/>
        </w:rPr>
        <w:t xml:space="preserve">ствующим законодательством РФ. </w:t>
      </w:r>
    </w:p>
    <w:p w:rsidR="004F1552" w:rsidRPr="008A5964" w:rsidRDefault="004F1552" w:rsidP="004F1552">
      <w:pPr>
        <w:jc w:val="both"/>
        <w:rPr>
          <w:sz w:val="22"/>
          <w:szCs w:val="22"/>
        </w:rPr>
      </w:pPr>
      <w:r w:rsidRPr="0055250A">
        <w:rPr>
          <w:sz w:val="22"/>
          <w:szCs w:val="22"/>
        </w:rPr>
        <w:t>5.4. В случае неисполнения или ненадлежащего исполнения принятых на себя обязательств по настоящему Договору Стороны несут ответственность в соответствии с действующим законодательством РФ.</w:t>
      </w:r>
    </w:p>
    <w:p w:rsidR="004F1552" w:rsidRDefault="004F1552" w:rsidP="004F1552">
      <w:pPr>
        <w:ind w:firstLine="709"/>
        <w:jc w:val="center"/>
        <w:rPr>
          <w:b/>
          <w:sz w:val="22"/>
          <w:szCs w:val="22"/>
        </w:rPr>
      </w:pPr>
      <w:r w:rsidRPr="0055250A">
        <w:rPr>
          <w:b/>
          <w:sz w:val="22"/>
          <w:szCs w:val="22"/>
        </w:rPr>
        <w:t>6. ЮРИДИЧЕСКИЕ АДРЕСА И БАНКОВСКИЕ РЕКВИЗИТЫ СТОРОН</w:t>
      </w:r>
    </w:p>
    <w:p w:rsidR="004F1552" w:rsidRPr="008A5964" w:rsidRDefault="004F1552" w:rsidP="004F1552">
      <w:pPr>
        <w:ind w:firstLine="709"/>
        <w:jc w:val="center"/>
        <w:rPr>
          <w:b/>
          <w:sz w:val="22"/>
          <w:szCs w:val="22"/>
        </w:rPr>
      </w:pPr>
    </w:p>
    <w:tbl>
      <w:tblPr>
        <w:tblW w:w="10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"/>
        <w:gridCol w:w="4931"/>
        <w:gridCol w:w="172"/>
        <w:gridCol w:w="4962"/>
        <w:gridCol w:w="219"/>
      </w:tblGrid>
      <w:tr w:rsidR="004F1552" w:rsidRPr="0055250A" w:rsidTr="00627EAD">
        <w:tblPrEx>
          <w:tblCellMar>
            <w:top w:w="0" w:type="dxa"/>
            <w:bottom w:w="0" w:type="dxa"/>
          </w:tblCellMar>
        </w:tblPrEx>
        <w:trPr>
          <w:gridAfter w:val="1"/>
          <w:wAfter w:w="219" w:type="dxa"/>
        </w:trPr>
        <w:tc>
          <w:tcPr>
            <w:tcW w:w="5173" w:type="dxa"/>
            <w:gridSpan w:val="3"/>
          </w:tcPr>
          <w:p w:rsidR="004F1552" w:rsidRPr="0055250A" w:rsidRDefault="004F1552" w:rsidP="00627EAD">
            <w:pPr>
              <w:jc w:val="center"/>
              <w:rPr>
                <w:b/>
                <w:sz w:val="22"/>
                <w:szCs w:val="22"/>
              </w:rPr>
            </w:pPr>
            <w:r w:rsidRPr="0055250A">
              <w:rPr>
                <w:b/>
                <w:sz w:val="22"/>
                <w:szCs w:val="22"/>
              </w:rPr>
              <w:t>ОРГАНИЗАТОР ТОРГОВ</w:t>
            </w:r>
          </w:p>
        </w:tc>
        <w:tc>
          <w:tcPr>
            <w:tcW w:w="4962" w:type="dxa"/>
          </w:tcPr>
          <w:p w:rsidR="004F1552" w:rsidRPr="0055250A" w:rsidRDefault="004F1552" w:rsidP="00627EAD">
            <w:pPr>
              <w:jc w:val="center"/>
              <w:rPr>
                <w:b/>
                <w:sz w:val="22"/>
                <w:szCs w:val="22"/>
              </w:rPr>
            </w:pPr>
            <w:r w:rsidRPr="0055250A">
              <w:rPr>
                <w:b/>
                <w:sz w:val="22"/>
                <w:szCs w:val="22"/>
              </w:rPr>
              <w:t>ЗАЯВИТЕЛЬ</w:t>
            </w:r>
          </w:p>
        </w:tc>
      </w:tr>
      <w:tr w:rsidR="004F1552" w:rsidRPr="0055250A" w:rsidTr="00627EAD">
        <w:tblPrEx>
          <w:tblCellMar>
            <w:top w:w="0" w:type="dxa"/>
            <w:bottom w:w="0" w:type="dxa"/>
          </w:tblCellMar>
        </w:tblPrEx>
        <w:trPr>
          <w:gridAfter w:val="1"/>
          <w:wAfter w:w="219" w:type="dxa"/>
        </w:trPr>
        <w:tc>
          <w:tcPr>
            <w:tcW w:w="5173" w:type="dxa"/>
            <w:gridSpan w:val="3"/>
          </w:tcPr>
          <w:p w:rsidR="004F1552" w:rsidRPr="0055250A" w:rsidRDefault="004F1552" w:rsidP="00627EAD">
            <w:pPr>
              <w:rPr>
                <w:b/>
                <w:sz w:val="22"/>
                <w:szCs w:val="22"/>
              </w:rPr>
            </w:pPr>
            <w:r w:rsidRPr="0055250A">
              <w:rPr>
                <w:b/>
                <w:sz w:val="22"/>
                <w:szCs w:val="22"/>
              </w:rPr>
              <w:t>Конкурсный управляющий</w:t>
            </w:r>
          </w:p>
          <w:p w:rsidR="004F1552" w:rsidRDefault="004F1552" w:rsidP="00627E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ФГУП ОПХ «</w:t>
            </w:r>
            <w:proofErr w:type="spellStart"/>
            <w:r>
              <w:rPr>
                <w:b/>
                <w:sz w:val="22"/>
                <w:szCs w:val="22"/>
              </w:rPr>
              <w:t>Вилга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</w:p>
          <w:p w:rsidR="004F1552" w:rsidRPr="0055250A" w:rsidRDefault="004F1552" w:rsidP="00627EA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Тюрлик</w:t>
            </w:r>
            <w:proofErr w:type="spellEnd"/>
            <w:r>
              <w:rPr>
                <w:b/>
                <w:sz w:val="22"/>
                <w:szCs w:val="22"/>
              </w:rPr>
              <w:t xml:space="preserve"> В.В.</w:t>
            </w:r>
          </w:p>
        </w:tc>
        <w:tc>
          <w:tcPr>
            <w:tcW w:w="4962" w:type="dxa"/>
          </w:tcPr>
          <w:p w:rsidR="004F1552" w:rsidRPr="0055250A" w:rsidRDefault="004F1552" w:rsidP="00627EA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4F1552" w:rsidRPr="0055250A" w:rsidTr="00627EAD">
        <w:tblPrEx>
          <w:tblCellMar>
            <w:top w:w="0" w:type="dxa"/>
            <w:bottom w:w="0" w:type="dxa"/>
          </w:tblCellMar>
        </w:tblPrEx>
        <w:trPr>
          <w:gridAfter w:val="1"/>
          <w:wAfter w:w="219" w:type="dxa"/>
          <w:trHeight w:val="709"/>
        </w:trPr>
        <w:tc>
          <w:tcPr>
            <w:tcW w:w="5173" w:type="dxa"/>
            <w:gridSpan w:val="3"/>
          </w:tcPr>
          <w:p w:rsidR="004F1552" w:rsidRDefault="004F1552" w:rsidP="00627EAD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185506, Республика Карелия, 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Прионежский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район, </w:t>
            </w:r>
          </w:p>
          <w:p w:rsidR="004F1552" w:rsidRDefault="004F1552" w:rsidP="00627EAD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п. Новая 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Вилга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, ул. Центральная, д. 12</w:t>
            </w:r>
          </w:p>
          <w:p w:rsidR="004F1552" w:rsidRDefault="004F1552" w:rsidP="00627EAD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ИНН 1020001438 КПП 102001001</w:t>
            </w:r>
          </w:p>
          <w:p w:rsidR="004F1552" w:rsidRDefault="004F1552" w:rsidP="00627EAD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>/с 40502810200123947857</w:t>
            </w:r>
          </w:p>
          <w:p w:rsidR="004F1552" w:rsidRDefault="004F1552" w:rsidP="00627E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Петрозаводский филиал ОАО «Балтийский Банк» </w:t>
            </w:r>
          </w:p>
          <w:p w:rsidR="004F1552" w:rsidRDefault="004F1552" w:rsidP="00627E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Петрозаводск</w:t>
            </w:r>
          </w:p>
          <w:p w:rsidR="004F1552" w:rsidRDefault="004F1552" w:rsidP="00627E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к/с 30101810000000000752</w:t>
            </w:r>
          </w:p>
          <w:p w:rsidR="004F1552" w:rsidRPr="0055250A" w:rsidRDefault="004F1552" w:rsidP="00627E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048602752</w:t>
            </w:r>
          </w:p>
        </w:tc>
        <w:tc>
          <w:tcPr>
            <w:tcW w:w="4962" w:type="dxa"/>
          </w:tcPr>
          <w:p w:rsidR="004F1552" w:rsidRPr="0055250A" w:rsidRDefault="004F1552" w:rsidP="00627EAD">
            <w:pPr>
              <w:jc w:val="both"/>
              <w:rPr>
                <w:sz w:val="22"/>
                <w:szCs w:val="22"/>
              </w:rPr>
            </w:pPr>
          </w:p>
        </w:tc>
      </w:tr>
      <w:tr w:rsidR="004F1552" w:rsidRPr="0055250A" w:rsidTr="00627EAD">
        <w:tblPrEx>
          <w:tblCellMar>
            <w:top w:w="0" w:type="dxa"/>
            <w:bottom w:w="0" w:type="dxa"/>
          </w:tblCellMar>
        </w:tblPrEx>
        <w:trPr>
          <w:gridAfter w:val="1"/>
          <w:wAfter w:w="219" w:type="dxa"/>
          <w:trHeight w:val="1202"/>
        </w:trPr>
        <w:tc>
          <w:tcPr>
            <w:tcW w:w="5173" w:type="dxa"/>
            <w:gridSpan w:val="3"/>
          </w:tcPr>
          <w:p w:rsidR="004F1552" w:rsidRPr="0055250A" w:rsidRDefault="004F1552" w:rsidP="00627EAD">
            <w:pPr>
              <w:jc w:val="both"/>
              <w:rPr>
                <w:sz w:val="22"/>
                <w:szCs w:val="22"/>
              </w:rPr>
            </w:pPr>
          </w:p>
          <w:p w:rsidR="004F1552" w:rsidRPr="0055250A" w:rsidRDefault="004F1552" w:rsidP="00627EAD">
            <w:pPr>
              <w:jc w:val="both"/>
              <w:rPr>
                <w:sz w:val="22"/>
                <w:szCs w:val="22"/>
              </w:rPr>
            </w:pPr>
          </w:p>
          <w:p w:rsidR="004F1552" w:rsidRPr="0055250A" w:rsidRDefault="004F1552" w:rsidP="00627EAD">
            <w:pPr>
              <w:jc w:val="both"/>
              <w:rPr>
                <w:sz w:val="22"/>
                <w:szCs w:val="22"/>
              </w:rPr>
            </w:pPr>
            <w:r w:rsidRPr="0055250A">
              <w:rPr>
                <w:sz w:val="22"/>
                <w:szCs w:val="22"/>
              </w:rPr>
              <w:t>Конкурсный управляющий</w:t>
            </w:r>
          </w:p>
          <w:p w:rsidR="004F1552" w:rsidRPr="0055250A" w:rsidRDefault="004F1552" w:rsidP="00627EAD">
            <w:pPr>
              <w:jc w:val="both"/>
              <w:rPr>
                <w:sz w:val="22"/>
                <w:szCs w:val="22"/>
              </w:rPr>
            </w:pPr>
          </w:p>
          <w:p w:rsidR="004F1552" w:rsidRPr="0055250A" w:rsidRDefault="004F1552" w:rsidP="00627EAD">
            <w:pPr>
              <w:jc w:val="both"/>
              <w:rPr>
                <w:sz w:val="22"/>
                <w:szCs w:val="22"/>
              </w:rPr>
            </w:pPr>
            <w:r w:rsidRPr="0055250A">
              <w:rPr>
                <w:sz w:val="22"/>
                <w:szCs w:val="22"/>
              </w:rPr>
              <w:t xml:space="preserve"> _____________________ </w:t>
            </w:r>
            <w:r>
              <w:rPr>
                <w:sz w:val="22"/>
                <w:szCs w:val="22"/>
              </w:rPr>
              <w:t xml:space="preserve">В.В. </w:t>
            </w:r>
            <w:proofErr w:type="spellStart"/>
            <w:r>
              <w:rPr>
                <w:sz w:val="22"/>
                <w:szCs w:val="22"/>
              </w:rPr>
              <w:t>Тюрлик</w:t>
            </w:r>
            <w:proofErr w:type="spellEnd"/>
          </w:p>
          <w:p w:rsidR="004F1552" w:rsidRPr="0055250A" w:rsidRDefault="004F1552" w:rsidP="00627EAD">
            <w:pPr>
              <w:jc w:val="both"/>
              <w:rPr>
                <w:sz w:val="22"/>
                <w:szCs w:val="22"/>
              </w:rPr>
            </w:pPr>
            <w:r w:rsidRPr="0055250A">
              <w:rPr>
                <w:sz w:val="22"/>
                <w:szCs w:val="22"/>
              </w:rPr>
              <w:t>«_____»______</w:t>
            </w:r>
            <w:r>
              <w:rPr>
                <w:sz w:val="22"/>
                <w:szCs w:val="22"/>
              </w:rPr>
              <w:t>__________2013</w:t>
            </w:r>
            <w:r w:rsidRPr="0055250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962" w:type="dxa"/>
          </w:tcPr>
          <w:p w:rsidR="004F1552" w:rsidRPr="0055250A" w:rsidRDefault="004F1552" w:rsidP="00627EAD">
            <w:pPr>
              <w:jc w:val="both"/>
              <w:rPr>
                <w:sz w:val="22"/>
                <w:szCs w:val="22"/>
              </w:rPr>
            </w:pPr>
            <w:r w:rsidRPr="0055250A">
              <w:rPr>
                <w:sz w:val="22"/>
                <w:szCs w:val="22"/>
              </w:rPr>
              <w:t xml:space="preserve">                               </w:t>
            </w:r>
          </w:p>
          <w:p w:rsidR="004F1552" w:rsidRPr="0055250A" w:rsidRDefault="004F1552" w:rsidP="00627EAD">
            <w:pPr>
              <w:jc w:val="both"/>
              <w:rPr>
                <w:sz w:val="22"/>
                <w:szCs w:val="22"/>
              </w:rPr>
            </w:pPr>
          </w:p>
          <w:p w:rsidR="004F1552" w:rsidRPr="0055250A" w:rsidRDefault="004F1552" w:rsidP="00627EAD">
            <w:pPr>
              <w:jc w:val="both"/>
              <w:rPr>
                <w:sz w:val="22"/>
                <w:szCs w:val="22"/>
              </w:rPr>
            </w:pPr>
          </w:p>
          <w:p w:rsidR="004F1552" w:rsidRDefault="004F1552" w:rsidP="00627EAD">
            <w:pPr>
              <w:jc w:val="both"/>
              <w:rPr>
                <w:sz w:val="22"/>
                <w:szCs w:val="22"/>
              </w:rPr>
            </w:pPr>
          </w:p>
          <w:p w:rsidR="004F1552" w:rsidRPr="0055250A" w:rsidRDefault="004F1552" w:rsidP="00627EAD">
            <w:pPr>
              <w:jc w:val="both"/>
              <w:rPr>
                <w:sz w:val="22"/>
                <w:szCs w:val="22"/>
              </w:rPr>
            </w:pPr>
            <w:r w:rsidRPr="0055250A">
              <w:rPr>
                <w:sz w:val="22"/>
                <w:szCs w:val="22"/>
              </w:rPr>
              <w:t>_________________</w:t>
            </w:r>
            <w:r>
              <w:rPr>
                <w:sz w:val="22"/>
                <w:szCs w:val="22"/>
              </w:rPr>
              <w:t xml:space="preserve">____ </w:t>
            </w:r>
          </w:p>
          <w:p w:rsidR="004F1552" w:rsidRPr="0055250A" w:rsidRDefault="004F1552" w:rsidP="00627E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«_____» _______________ 2013</w:t>
            </w:r>
            <w:r w:rsidRPr="0055250A">
              <w:rPr>
                <w:sz w:val="22"/>
                <w:szCs w:val="22"/>
              </w:rPr>
              <w:t xml:space="preserve"> г.</w:t>
            </w:r>
          </w:p>
        </w:tc>
      </w:tr>
      <w:tr w:rsidR="004F1552" w:rsidRPr="0055250A" w:rsidTr="00627EAD">
        <w:tblPrEx>
          <w:tblCellMar>
            <w:top w:w="0" w:type="dxa"/>
            <w:bottom w:w="0" w:type="dxa"/>
          </w:tblCellMar>
        </w:tblPrEx>
        <w:trPr>
          <w:gridBefore w:val="1"/>
          <w:wBefore w:w="70" w:type="dxa"/>
          <w:trHeight w:val="485"/>
        </w:trPr>
        <w:tc>
          <w:tcPr>
            <w:tcW w:w="4931" w:type="dxa"/>
          </w:tcPr>
          <w:p w:rsidR="004F1552" w:rsidRPr="0055250A" w:rsidRDefault="004F1552" w:rsidP="00627EAD">
            <w:pPr>
              <w:ind w:firstLine="709"/>
              <w:jc w:val="both"/>
              <w:rPr>
                <w:b/>
                <w:spacing w:val="10"/>
                <w:sz w:val="22"/>
                <w:szCs w:val="22"/>
              </w:rPr>
            </w:pPr>
          </w:p>
        </w:tc>
        <w:tc>
          <w:tcPr>
            <w:tcW w:w="5353" w:type="dxa"/>
            <w:gridSpan w:val="3"/>
          </w:tcPr>
          <w:p w:rsidR="004F1552" w:rsidRPr="0055250A" w:rsidRDefault="004F1552" w:rsidP="00627EA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4F1552" w:rsidRPr="0055250A" w:rsidTr="00627EAD">
        <w:tblPrEx>
          <w:tblCellMar>
            <w:top w:w="0" w:type="dxa"/>
            <w:bottom w:w="0" w:type="dxa"/>
          </w:tblCellMar>
        </w:tblPrEx>
        <w:trPr>
          <w:gridBefore w:val="1"/>
          <w:wBefore w:w="70" w:type="dxa"/>
          <w:trHeight w:val="363"/>
        </w:trPr>
        <w:tc>
          <w:tcPr>
            <w:tcW w:w="4931" w:type="dxa"/>
          </w:tcPr>
          <w:p w:rsidR="004F1552" w:rsidRPr="0055250A" w:rsidRDefault="004F1552" w:rsidP="00627EAD">
            <w:pPr>
              <w:jc w:val="both"/>
              <w:rPr>
                <w:spacing w:val="10"/>
                <w:sz w:val="22"/>
                <w:szCs w:val="22"/>
              </w:rPr>
            </w:pPr>
          </w:p>
        </w:tc>
        <w:tc>
          <w:tcPr>
            <w:tcW w:w="5353" w:type="dxa"/>
            <w:gridSpan w:val="3"/>
          </w:tcPr>
          <w:p w:rsidR="004F1552" w:rsidRPr="0055250A" w:rsidRDefault="004F1552" w:rsidP="00627EAD">
            <w:pPr>
              <w:jc w:val="both"/>
              <w:rPr>
                <w:sz w:val="22"/>
                <w:szCs w:val="22"/>
              </w:rPr>
            </w:pPr>
          </w:p>
        </w:tc>
      </w:tr>
      <w:tr w:rsidR="004F1552" w:rsidRPr="0055250A" w:rsidTr="00627EAD">
        <w:tblPrEx>
          <w:tblCellMar>
            <w:top w:w="0" w:type="dxa"/>
            <w:bottom w:w="0" w:type="dxa"/>
          </w:tblCellMar>
        </w:tblPrEx>
        <w:trPr>
          <w:gridBefore w:val="1"/>
          <w:wBefore w:w="70" w:type="dxa"/>
          <w:trHeight w:val="365"/>
        </w:trPr>
        <w:tc>
          <w:tcPr>
            <w:tcW w:w="4931" w:type="dxa"/>
          </w:tcPr>
          <w:p w:rsidR="004F1552" w:rsidRPr="0055250A" w:rsidRDefault="004F1552" w:rsidP="00627EAD">
            <w:pPr>
              <w:jc w:val="both"/>
              <w:rPr>
                <w:spacing w:val="10"/>
                <w:sz w:val="22"/>
                <w:szCs w:val="22"/>
              </w:rPr>
            </w:pPr>
          </w:p>
        </w:tc>
        <w:tc>
          <w:tcPr>
            <w:tcW w:w="5353" w:type="dxa"/>
            <w:gridSpan w:val="3"/>
          </w:tcPr>
          <w:p w:rsidR="004F1552" w:rsidRPr="0055250A" w:rsidRDefault="004F1552" w:rsidP="00627EAD">
            <w:pPr>
              <w:jc w:val="both"/>
              <w:rPr>
                <w:sz w:val="22"/>
                <w:szCs w:val="22"/>
              </w:rPr>
            </w:pPr>
          </w:p>
        </w:tc>
      </w:tr>
    </w:tbl>
    <w:p w:rsidR="004F1552" w:rsidRPr="0055250A" w:rsidRDefault="004F1552" w:rsidP="00CD7C01">
      <w:pPr>
        <w:ind w:firstLine="709"/>
        <w:jc w:val="both"/>
        <w:rPr>
          <w:sz w:val="22"/>
          <w:szCs w:val="22"/>
        </w:rPr>
      </w:pPr>
    </w:p>
    <w:sectPr w:rsidR="004F1552" w:rsidRPr="0055250A">
      <w:footerReference w:type="even" r:id="rId9"/>
      <w:footerReference w:type="default" r:id="rId10"/>
      <w:pgSz w:w="11906" w:h="16838"/>
      <w:pgMar w:top="567" w:right="851" w:bottom="567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668" w:rsidRDefault="00866668">
      <w:r>
        <w:separator/>
      </w:r>
    </w:p>
  </w:endnote>
  <w:endnote w:type="continuationSeparator" w:id="1">
    <w:p w:rsidR="00866668" w:rsidRDefault="00866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BA1" w:rsidRDefault="00843BA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3BA1" w:rsidRDefault="00843BA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BA1" w:rsidRDefault="00843BA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F1552">
      <w:rPr>
        <w:rStyle w:val="a6"/>
        <w:noProof/>
      </w:rPr>
      <w:t>4</w:t>
    </w:r>
    <w:r>
      <w:rPr>
        <w:rStyle w:val="a6"/>
      </w:rPr>
      <w:fldChar w:fldCharType="end"/>
    </w:r>
  </w:p>
  <w:p w:rsidR="00843BA1" w:rsidRDefault="00843BA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668" w:rsidRDefault="00866668">
      <w:r>
        <w:separator/>
      </w:r>
    </w:p>
  </w:footnote>
  <w:footnote w:type="continuationSeparator" w:id="1">
    <w:p w:rsidR="00866668" w:rsidRDefault="008666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7CA"/>
    <w:multiLevelType w:val="hybridMultilevel"/>
    <w:tmpl w:val="3A8ED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405C0"/>
    <w:multiLevelType w:val="multilevel"/>
    <w:tmpl w:val="7AFEDEBA"/>
    <w:lvl w:ilvl="0">
      <w:start w:val="3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4361D60"/>
    <w:multiLevelType w:val="multilevel"/>
    <w:tmpl w:val="57A261C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7898240E"/>
    <w:multiLevelType w:val="multilevel"/>
    <w:tmpl w:val="ACEA19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4">
    <w:nsid w:val="79032904"/>
    <w:multiLevelType w:val="hybridMultilevel"/>
    <w:tmpl w:val="89CCE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2A6"/>
    <w:rsid w:val="000041DC"/>
    <w:rsid w:val="00050CF2"/>
    <w:rsid w:val="00061629"/>
    <w:rsid w:val="000808AA"/>
    <w:rsid w:val="000B7AC5"/>
    <w:rsid w:val="000C503D"/>
    <w:rsid w:val="000C63C2"/>
    <w:rsid w:val="000D622A"/>
    <w:rsid w:val="000E6ADA"/>
    <w:rsid w:val="001046EF"/>
    <w:rsid w:val="001126D3"/>
    <w:rsid w:val="00137125"/>
    <w:rsid w:val="00165252"/>
    <w:rsid w:val="00176A44"/>
    <w:rsid w:val="00177EF7"/>
    <w:rsid w:val="00181ACC"/>
    <w:rsid w:val="00184292"/>
    <w:rsid w:val="001A5802"/>
    <w:rsid w:val="001D135B"/>
    <w:rsid w:val="001E0146"/>
    <w:rsid w:val="00211D35"/>
    <w:rsid w:val="00236F15"/>
    <w:rsid w:val="00295C61"/>
    <w:rsid w:val="002A0013"/>
    <w:rsid w:val="002A677C"/>
    <w:rsid w:val="002A6FB0"/>
    <w:rsid w:val="002B22A6"/>
    <w:rsid w:val="002E5B50"/>
    <w:rsid w:val="002F4A73"/>
    <w:rsid w:val="00305AAA"/>
    <w:rsid w:val="00307A0B"/>
    <w:rsid w:val="003266EE"/>
    <w:rsid w:val="00335E4B"/>
    <w:rsid w:val="00336188"/>
    <w:rsid w:val="00344910"/>
    <w:rsid w:val="003967B7"/>
    <w:rsid w:val="003B0644"/>
    <w:rsid w:val="003B6FE6"/>
    <w:rsid w:val="003D2F70"/>
    <w:rsid w:val="003F2287"/>
    <w:rsid w:val="003F59D5"/>
    <w:rsid w:val="0049315C"/>
    <w:rsid w:val="004A4E8D"/>
    <w:rsid w:val="004B046C"/>
    <w:rsid w:val="004B0E9E"/>
    <w:rsid w:val="004B2A3C"/>
    <w:rsid w:val="004B48C5"/>
    <w:rsid w:val="004C5ED9"/>
    <w:rsid w:val="004D69EC"/>
    <w:rsid w:val="004E157B"/>
    <w:rsid w:val="004F1552"/>
    <w:rsid w:val="004F6ED7"/>
    <w:rsid w:val="0050378D"/>
    <w:rsid w:val="00536D1A"/>
    <w:rsid w:val="0054039D"/>
    <w:rsid w:val="005429DA"/>
    <w:rsid w:val="0055250A"/>
    <w:rsid w:val="0056488B"/>
    <w:rsid w:val="00571282"/>
    <w:rsid w:val="005B5411"/>
    <w:rsid w:val="005F29CA"/>
    <w:rsid w:val="005F4063"/>
    <w:rsid w:val="0062473A"/>
    <w:rsid w:val="00626931"/>
    <w:rsid w:val="00631859"/>
    <w:rsid w:val="00634869"/>
    <w:rsid w:val="006427CA"/>
    <w:rsid w:val="006539DC"/>
    <w:rsid w:val="00675215"/>
    <w:rsid w:val="00677A79"/>
    <w:rsid w:val="006830FB"/>
    <w:rsid w:val="006869E8"/>
    <w:rsid w:val="006B6C53"/>
    <w:rsid w:val="006E78BA"/>
    <w:rsid w:val="006F1CC0"/>
    <w:rsid w:val="006F7046"/>
    <w:rsid w:val="00721D1B"/>
    <w:rsid w:val="00733841"/>
    <w:rsid w:val="00764E5D"/>
    <w:rsid w:val="007A676F"/>
    <w:rsid w:val="007B2DAF"/>
    <w:rsid w:val="007C131B"/>
    <w:rsid w:val="007C4382"/>
    <w:rsid w:val="00824CB1"/>
    <w:rsid w:val="00836522"/>
    <w:rsid w:val="00843BA1"/>
    <w:rsid w:val="008459EA"/>
    <w:rsid w:val="00847900"/>
    <w:rsid w:val="00866668"/>
    <w:rsid w:val="0088311D"/>
    <w:rsid w:val="00893417"/>
    <w:rsid w:val="008A5964"/>
    <w:rsid w:val="008A5E4D"/>
    <w:rsid w:val="008C3787"/>
    <w:rsid w:val="008D6B78"/>
    <w:rsid w:val="008F1C0C"/>
    <w:rsid w:val="008F3165"/>
    <w:rsid w:val="0090499A"/>
    <w:rsid w:val="00923D48"/>
    <w:rsid w:val="0094108D"/>
    <w:rsid w:val="00942551"/>
    <w:rsid w:val="00945932"/>
    <w:rsid w:val="0094730A"/>
    <w:rsid w:val="009D4C2B"/>
    <w:rsid w:val="009F0E26"/>
    <w:rsid w:val="009F23E9"/>
    <w:rsid w:val="00A2387F"/>
    <w:rsid w:val="00A30DC7"/>
    <w:rsid w:val="00A40FBF"/>
    <w:rsid w:val="00A53083"/>
    <w:rsid w:val="00A931AB"/>
    <w:rsid w:val="00A961A6"/>
    <w:rsid w:val="00A96E94"/>
    <w:rsid w:val="00A972B4"/>
    <w:rsid w:val="00AC54CD"/>
    <w:rsid w:val="00AC5CF2"/>
    <w:rsid w:val="00AF0686"/>
    <w:rsid w:val="00AF5470"/>
    <w:rsid w:val="00B01A9B"/>
    <w:rsid w:val="00B15D5A"/>
    <w:rsid w:val="00B408D1"/>
    <w:rsid w:val="00B46BAE"/>
    <w:rsid w:val="00B52EDC"/>
    <w:rsid w:val="00B637E3"/>
    <w:rsid w:val="00B72EFE"/>
    <w:rsid w:val="00B910B1"/>
    <w:rsid w:val="00BB0A8F"/>
    <w:rsid w:val="00BC1999"/>
    <w:rsid w:val="00BC7E03"/>
    <w:rsid w:val="00BF0054"/>
    <w:rsid w:val="00BF2EB8"/>
    <w:rsid w:val="00C105B9"/>
    <w:rsid w:val="00C120CC"/>
    <w:rsid w:val="00C1529D"/>
    <w:rsid w:val="00C335FF"/>
    <w:rsid w:val="00C561A5"/>
    <w:rsid w:val="00C71AB4"/>
    <w:rsid w:val="00C744F3"/>
    <w:rsid w:val="00CC02D7"/>
    <w:rsid w:val="00CD36F3"/>
    <w:rsid w:val="00CD7C01"/>
    <w:rsid w:val="00CF2E05"/>
    <w:rsid w:val="00CF7AEE"/>
    <w:rsid w:val="00D3459F"/>
    <w:rsid w:val="00D47556"/>
    <w:rsid w:val="00D77D31"/>
    <w:rsid w:val="00DB4A23"/>
    <w:rsid w:val="00DB4C05"/>
    <w:rsid w:val="00DC4D62"/>
    <w:rsid w:val="00E03B34"/>
    <w:rsid w:val="00E14913"/>
    <w:rsid w:val="00E36F4E"/>
    <w:rsid w:val="00E5196B"/>
    <w:rsid w:val="00E76DD6"/>
    <w:rsid w:val="00E86E2A"/>
    <w:rsid w:val="00ED0499"/>
    <w:rsid w:val="00EE734F"/>
    <w:rsid w:val="00F00B2C"/>
    <w:rsid w:val="00F40CFA"/>
    <w:rsid w:val="00F75C1E"/>
    <w:rsid w:val="00FA75A2"/>
    <w:rsid w:val="00FC7A1F"/>
    <w:rsid w:val="00FD24F8"/>
    <w:rsid w:val="00FD4979"/>
    <w:rsid w:val="00FD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09"/>
      <w:jc w:val="center"/>
      <w:outlineLvl w:val="0"/>
    </w:pPr>
    <w:rPr>
      <w:b/>
    </w:rPr>
  </w:style>
  <w:style w:type="paragraph" w:styleId="3">
    <w:name w:val="heading 3"/>
    <w:basedOn w:val="a"/>
    <w:next w:val="a"/>
    <w:qFormat/>
    <w:rsid w:val="00EE73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left="360"/>
      <w:jc w:val="both"/>
    </w:p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2">
    <w:name w:val="Body Text Indent 2"/>
    <w:basedOn w:val="a"/>
    <w:pPr>
      <w:ind w:firstLine="709"/>
      <w:jc w:val="both"/>
    </w:pPr>
    <w:rPr>
      <w:sz w:val="23"/>
    </w:rPr>
  </w:style>
  <w:style w:type="character" w:styleId="a6">
    <w:name w:val="page number"/>
    <w:basedOn w:val="a0"/>
  </w:style>
  <w:style w:type="paragraph" w:styleId="30">
    <w:name w:val="Body Text Indent 3"/>
    <w:basedOn w:val="a"/>
    <w:pPr>
      <w:spacing w:line="360" w:lineRule="auto"/>
      <w:ind w:firstLine="709"/>
      <w:jc w:val="both"/>
    </w:pPr>
  </w:style>
  <w:style w:type="paragraph" w:styleId="20">
    <w:name w:val="Body Text 2"/>
    <w:basedOn w:val="a"/>
    <w:rsid w:val="004A4E8D"/>
    <w:pPr>
      <w:spacing w:after="120" w:line="480" w:lineRule="auto"/>
    </w:pPr>
    <w:rPr>
      <w:sz w:val="20"/>
      <w:szCs w:val="20"/>
    </w:rPr>
  </w:style>
  <w:style w:type="paragraph" w:styleId="a7">
    <w:name w:val="Normal (Web)"/>
    <w:basedOn w:val="a"/>
    <w:rsid w:val="00E36F4E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AC54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54CD"/>
    <w:rPr>
      <w:rFonts w:ascii="Tahoma" w:hAnsi="Tahoma" w:cs="Tahoma"/>
      <w:sz w:val="16"/>
      <w:szCs w:val="16"/>
    </w:rPr>
  </w:style>
  <w:style w:type="paragraph" w:customStyle="1" w:styleId="WW-">
    <w:name w:val="WW-Текст"/>
    <w:basedOn w:val="a"/>
    <w:rsid w:val="000E6ADA"/>
    <w:pPr>
      <w:suppressAutoHyphens/>
    </w:pPr>
    <w:rPr>
      <w:rFonts w:ascii="Courier New" w:hAnsi="Courier New"/>
      <w:b/>
      <w:sz w:val="20"/>
      <w:szCs w:val="20"/>
      <w:lang w:eastAsia="ar-SA"/>
    </w:rPr>
  </w:style>
  <w:style w:type="character" w:styleId="aa">
    <w:name w:val="Hyperlink"/>
    <w:basedOn w:val="a0"/>
    <w:rsid w:val="00FC7A1F"/>
    <w:rPr>
      <w:color w:val="0000FF"/>
      <w:u w:val="single"/>
    </w:rPr>
  </w:style>
  <w:style w:type="paragraph" w:customStyle="1" w:styleId="21">
    <w:name w:val="Абзац списка2"/>
    <w:basedOn w:val="a"/>
    <w:rsid w:val="008A5964"/>
    <w:pPr>
      <w:ind w:left="72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1442</Words>
  <Characters>10454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Соглашения о задатке</vt:lpstr>
    </vt:vector>
  </TitlesOfParts>
  <Company/>
  <LinksUpToDate>false</LinksUpToDate>
  <CharactersWithSpaces>11873</CharactersWithSpaces>
  <SharedDoc>false</SharedDoc>
  <HLinks>
    <vt:vector size="6" baseType="variant">
      <vt:variant>
        <vt:i4>327771</vt:i4>
      </vt:variant>
      <vt:variant>
        <vt:i4>0</vt:i4>
      </vt:variant>
      <vt:variant>
        <vt:i4>0</vt:i4>
      </vt:variant>
      <vt:variant>
        <vt:i4>5</vt:i4>
      </vt:variant>
      <vt:variant>
        <vt:lpwstr>http://lot-online.ru/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Соглашения о задатке</dc:title>
  <dc:subject/>
  <dc:creator>IPP</dc:creator>
  <cp:keywords/>
  <dc:description/>
  <cp:lastModifiedBy>c400</cp:lastModifiedBy>
  <cp:revision>2</cp:revision>
  <cp:lastPrinted>2013-01-10T12:12:00Z</cp:lastPrinted>
  <dcterms:created xsi:type="dcterms:W3CDTF">2013-01-21T11:09:00Z</dcterms:created>
  <dcterms:modified xsi:type="dcterms:W3CDTF">2013-01-21T11:09:00Z</dcterms:modified>
</cp:coreProperties>
</file>