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DA" w:rsidRDefault="00FA6EDA" w:rsidP="00FA6EDA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ДОГОВОР О ЗАДАТКЕ </w:t>
      </w:r>
    </w:p>
    <w:p w:rsidR="00FA6EDA" w:rsidRDefault="00FA6EDA" w:rsidP="00FA6EDA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color w:val="000000"/>
          <w:spacing w:val="-4"/>
        </w:rPr>
      </w:pPr>
    </w:p>
    <w:p w:rsidR="00FA6EDA" w:rsidRDefault="00FA6EDA" w:rsidP="00FA6EDA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«____» ___________2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014 г.</w:t>
      </w:r>
    </w:p>
    <w:p w:rsidR="00FA6EDA" w:rsidRDefault="00FA6EDA" w:rsidP="00FA6EDA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FA6EDA" w:rsidRDefault="00FA6EDA" w:rsidP="00FA6ED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ЗАО "Магис" Гутенев Николай Николаевич, действующий на основании решения  Арбитражного суда Воронежской области от 22.08.2010 года по делу А14-16222/2012, именуемый в дальнейшем «Организатор» торгов» с одной стороны, </w:t>
      </w:r>
    </w:p>
    <w:p w:rsidR="00FA6EDA" w:rsidRDefault="00FA6EDA" w:rsidP="00FA6EDA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 именуемый в дальнейшем «Претендент», в лице ________________________, действующий на основании   ____________________________________________________, с другой стороны, заключили настоящее соглашение о нижеследующем:</w:t>
      </w:r>
    </w:p>
    <w:p w:rsidR="00FA6EDA" w:rsidRDefault="00FA6EDA" w:rsidP="00FA6ED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внесение Претендентом задатка (далее - Задаток) для участия на торгах по продаже имущества   ЗАО « Магис»  (Лот № _______________________________________________________________________________________________________________________________________________________________________________________________________________________________________. в дальнейшем именуемое «Имущество», проводимых в электронной форме на электронной торговой площадке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ОАО « Российский аукционный дом»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 в форме публичного предложения, с открытой формой представления предложения о цене 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по продаже имущества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ЗАО « Магис» </w:t>
      </w:r>
      <w:r>
        <w:rPr>
          <w:rStyle w:val="paragraph"/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3123101325, ОГРН 1033107036401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) на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сайте: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sz w:val="24"/>
          <w:szCs w:val="24"/>
        </w:rPr>
        <w:t>://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lot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В соответствии  с порядком и условиями продажи имущества должника  "Магис"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Приказом Министерства экономического развития РФ от 15.02.2010 г. № 54 "Об утверждении Порядка проведения открытых торгов в электронной форме...", ФЗ от 26.10.2002 г. № 127-ФЗ "О несостоятельности (банкротстве)"  задаток установлен в размере 10 (десяти) процентов от начальной стоимости лота.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>
        <w:rPr>
          <w:rFonts w:ascii="Times New Roman" w:hAnsi="Times New Roman" w:cs="Times New Roman"/>
          <w:color w:val="00000A"/>
          <w:sz w:val="24"/>
          <w:szCs w:val="24"/>
        </w:rPr>
        <w:t>в обеспечение исполнения обязатель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6EDA" w:rsidRDefault="00FA6EDA" w:rsidP="00FA6ED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EDA" w:rsidRDefault="00FA6EDA" w:rsidP="00FA6ED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внесения задатка</w:t>
      </w:r>
    </w:p>
    <w:p w:rsidR="00FA6EDA" w:rsidRDefault="00FA6EDA" w:rsidP="00FA6EDA">
      <w:p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  ЗАО «Магис» по следующим реквизитам:</w:t>
      </w:r>
    </w:p>
    <w:p w:rsidR="00FA6EDA" w:rsidRDefault="00FA6EDA" w:rsidP="00FA6ED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ЗАО «Магис» </w:t>
      </w:r>
    </w:p>
    <w:p w:rsidR="00FA6EDA" w:rsidRDefault="00FA6EDA" w:rsidP="00FA6E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noProof/>
          <w:sz w:val="24"/>
          <w:szCs w:val="24"/>
        </w:rPr>
        <w:t>40702810500010001524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noProof/>
          <w:sz w:val="24"/>
          <w:szCs w:val="24"/>
        </w:rPr>
        <w:t>ЗАО УКБ "Белгородсоцбанк"</w:t>
      </w:r>
      <w:r>
        <w:rPr>
          <w:rFonts w:ascii="Times New Roman" w:hAnsi="Times New Roman" w:cs="Times New Roman"/>
          <w:sz w:val="24"/>
          <w:szCs w:val="24"/>
        </w:rPr>
        <w:t xml:space="preserve">, к/с </w:t>
      </w:r>
      <w:r>
        <w:rPr>
          <w:rFonts w:ascii="Times New Roman" w:hAnsi="Times New Roman" w:cs="Times New Roman"/>
          <w:noProof/>
          <w:sz w:val="24"/>
          <w:szCs w:val="24"/>
        </w:rPr>
        <w:t>30101810100000000701</w:t>
      </w:r>
      <w:r>
        <w:rPr>
          <w:rFonts w:ascii="Times New Roman" w:hAnsi="Times New Roman" w:cs="Times New Roman"/>
          <w:sz w:val="24"/>
          <w:szCs w:val="24"/>
        </w:rPr>
        <w:t xml:space="preserve">, БИК </w:t>
      </w:r>
      <w:r>
        <w:rPr>
          <w:rFonts w:ascii="Times New Roman" w:hAnsi="Times New Roman" w:cs="Times New Roman"/>
          <w:noProof/>
          <w:sz w:val="24"/>
          <w:szCs w:val="24"/>
        </w:rPr>
        <w:t>041403701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noProof/>
          <w:sz w:val="24"/>
          <w:szCs w:val="24"/>
        </w:rPr>
        <w:t>3123101325</w:t>
      </w:r>
      <w:r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noProof/>
          <w:sz w:val="24"/>
          <w:szCs w:val="24"/>
        </w:rPr>
        <w:t>312301001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EDA" w:rsidRDefault="00FA6EDA" w:rsidP="00FA6ED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Назначение платежа: Задаток за участие в торгах по продаже имущества  ЗАО «Магис», лот № ___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FA6EDA" w:rsidRDefault="00FA6EDA" w:rsidP="00FA6ED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EDA" w:rsidRDefault="00FA6EDA" w:rsidP="00FA6ED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возврата и удержания задатка</w:t>
      </w:r>
    </w:p>
    <w:p w:rsidR="00FA6EDA" w:rsidRDefault="00FA6EDA" w:rsidP="00FA6EDA">
      <w:pPr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Сумма Задатка возвращается Претенденту, не являющемуся победителем торгов, в течение 5 рабочих дней со дня подписания протокола о результатах проведения торгов в случаях: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отказа Претендента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от участия в торгах до окончания срока приема заявок на участие в торгах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и приобретения Претендентом статуса участника;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принятия решения о невозможности допуска Претендента к участию в торгах;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объявления торгов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отмены торгов;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непризнания Претендента победителем торгов.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Сумма Задатка не возвращается Претенденту в случаях: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num" w:pos="1260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победы Претендента на торгах и дальнейшего отказа (уклонения) с его стороны от подписания протокола о результатах проведения торгов;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num" w:pos="1260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победы Претендента на торгах и дальнейшего не заключения им договора купли-продажи с Конкурсным управляющим в течение 5 дней со дня подписания протокола о результатах проведения торгов;</w:t>
      </w:r>
    </w:p>
    <w:p w:rsidR="00FA6EDA" w:rsidRDefault="00FA6EDA" w:rsidP="00FA6EDA">
      <w:pPr>
        <w:numPr>
          <w:ilvl w:val="2"/>
          <w:numId w:val="1"/>
        </w:numPr>
        <w:tabs>
          <w:tab w:val="clear" w:pos="1224"/>
          <w:tab w:val="num" w:pos="1260"/>
          <w:tab w:val="left" w:pos="1980"/>
        </w:tabs>
        <w:suppressAutoHyphens/>
        <w:spacing w:after="0" w:line="240" w:lineRule="auto"/>
        <w:ind w:left="1980" w:hanging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случае не перечисления денежных средств в оплату лота в установленные договором купли-продажи сроки.</w:t>
      </w:r>
    </w:p>
    <w:p w:rsidR="00FA6EDA" w:rsidRDefault="00FA6EDA" w:rsidP="00FA6EDA">
      <w:pPr>
        <w:spacing w:line="240" w:lineRule="exact"/>
        <w:ind w:left="150" w:right="90" w:firstLine="765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A6EDA" w:rsidRDefault="00FA6EDA" w:rsidP="00FA6ED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соглашения</w:t>
      </w:r>
    </w:p>
    <w:p w:rsidR="00FA6EDA" w:rsidRDefault="00FA6EDA" w:rsidP="00FA6EDA">
      <w:pPr>
        <w:suppressAutoHyphens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Настоящее соглашение вступает в силу со дня его подписания сторонами.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FA6EDA" w:rsidRDefault="00FA6EDA" w:rsidP="00FA6EDA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FA6EDA" w:rsidRDefault="00FA6EDA" w:rsidP="00FA6ED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</w:t>
      </w:r>
      <w:r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положения</w:t>
      </w:r>
    </w:p>
    <w:p w:rsidR="00FA6EDA" w:rsidRDefault="00FA6EDA" w:rsidP="00FA6EDA">
      <w:pPr>
        <w:suppressAutoHyphens/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</w:pP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Споры, возникающие при исполнении настоящего соглашения, разрешаются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  <w:t>сторонами путем переговоров между собой. При недостижении согласия споры и разногласия подлежат рассмотрению в Арбитражном суде Воронежской области.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Настоящий договор составлен в двух аутентичных экземплярах, один из которых находится у Организатора торгов, а другой у Претендента </w:t>
      </w:r>
    </w:p>
    <w:p w:rsidR="00FA6EDA" w:rsidRDefault="00FA6EDA" w:rsidP="00FA6EDA">
      <w:pPr>
        <w:numPr>
          <w:ilvl w:val="1"/>
          <w:numId w:val="1"/>
        </w:numPr>
        <w:tabs>
          <w:tab w:val="clear" w:pos="792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FA6EDA" w:rsidRDefault="00FA6EDA" w:rsidP="00FA6ED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FA6EDA" w:rsidRDefault="00FA6EDA" w:rsidP="00FA6ED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4926"/>
        <w:gridCol w:w="4926"/>
      </w:tblGrid>
      <w:tr w:rsidR="00FA6EDA" w:rsidTr="000E4B88">
        <w:trPr>
          <w:jc w:val="center"/>
        </w:trPr>
        <w:tc>
          <w:tcPr>
            <w:tcW w:w="4926" w:type="dxa"/>
          </w:tcPr>
          <w:p w:rsidR="00FA6EDA" w:rsidRDefault="00FA6EDA" w:rsidP="000E4B88">
            <w:pPr>
              <w:pStyle w:val="ConsNormal"/>
              <w:widowControl/>
              <w:tabs>
                <w:tab w:val="left" w:pos="141"/>
              </w:tabs>
              <w:spacing w:line="276" w:lineRule="auto"/>
              <w:ind w:left="-143" w:right="0" w:firstLine="14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ОРГАНИЗАТОР ТОРГОВ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 «Магис»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305511,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урск,  ул. Хуторская, д.12В, кв.115. 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463207669226</w:t>
            </w:r>
            <w:r>
              <w:rPr>
                <w:rFonts w:ascii="Times New Roman" w:hAnsi="Times New Roman" w:cs="Times New Roman"/>
                <w:noProof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управляющий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DA" w:rsidRDefault="00FA6EDA" w:rsidP="000E4B88">
            <w:pPr>
              <w:pStyle w:val="a3"/>
              <w:tabs>
                <w:tab w:val="left" w:pos="364"/>
              </w:tabs>
              <w:spacing w:after="0" w:line="276" w:lineRule="auto"/>
              <w:ind w:left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_________________  Н.Н.Гутенев 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DA" w:rsidRDefault="00FA6EDA" w:rsidP="000E4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6EDA" w:rsidRDefault="00FA6EDA" w:rsidP="000E4B88">
            <w:pPr>
              <w:pStyle w:val="ConsNormal"/>
              <w:widowControl/>
              <w:tabs>
                <w:tab w:val="left" w:pos="851"/>
              </w:tabs>
              <w:spacing w:line="276" w:lineRule="auto"/>
              <w:ind w:right="0" w:firstLine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26" w:type="dxa"/>
          </w:tcPr>
          <w:p w:rsidR="00FA6EDA" w:rsidRDefault="00FA6EDA" w:rsidP="000E4B88">
            <w:pPr>
              <w:pStyle w:val="ConsNormal"/>
              <w:widowControl/>
              <w:tabs>
                <w:tab w:val="left" w:pos="851"/>
              </w:tabs>
              <w:spacing w:line="276" w:lineRule="auto"/>
              <w:ind w:righ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ПРЕТЕНДЕНТ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6EDA" w:rsidRDefault="00FA6EDA" w:rsidP="000E4B88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Руководитель 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______________</w:t>
            </w: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DA" w:rsidRDefault="00FA6EDA" w:rsidP="000E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FA6EDA" w:rsidRDefault="00FA6EDA" w:rsidP="000E4B88">
            <w:pPr>
              <w:pStyle w:val="ConsNormal"/>
              <w:widowControl/>
              <w:tabs>
                <w:tab w:val="left" w:pos="851"/>
              </w:tabs>
              <w:spacing w:line="276" w:lineRule="auto"/>
              <w:ind w:right="0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A6EDA" w:rsidRDefault="00FA6EDA" w:rsidP="00FA6EDA"/>
    <w:p w:rsidR="00FA6EDA" w:rsidRDefault="00FA6EDA" w:rsidP="00FA6EDA"/>
    <w:p w:rsidR="00F10A2D" w:rsidRDefault="00F10A2D"/>
    <w:sectPr w:rsidR="00F10A2D" w:rsidSect="00E3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5CB4"/>
    <w:multiLevelType w:val="multilevel"/>
    <w:tmpl w:val="E1484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EDA"/>
    <w:rsid w:val="00F10A2D"/>
    <w:rsid w:val="00FA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A6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6ED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FA6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A6EDA"/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1"/>
    <w:semiHidden/>
    <w:unhideWhenUsed/>
    <w:rsid w:val="00FA6EDA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6EDA"/>
  </w:style>
  <w:style w:type="paragraph" w:customStyle="1" w:styleId="ConsNormal">
    <w:name w:val="ConsNormal"/>
    <w:rsid w:val="00FA6ED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FA6EDA"/>
    <w:rPr>
      <w:sz w:val="24"/>
      <w:szCs w:val="24"/>
    </w:rPr>
  </w:style>
  <w:style w:type="character" w:customStyle="1" w:styleId="paragraph">
    <w:name w:val="paragraph"/>
    <w:rsid w:val="00FA6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4403</Characters>
  <Application>Microsoft Office Word</Application>
  <DocSecurity>0</DocSecurity>
  <Lines>36</Lines>
  <Paragraphs>10</Paragraphs>
  <ScaleCrop>false</ScaleCrop>
  <Company>HP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USER_SUR02</dc:creator>
  <cp:keywords/>
  <dc:description/>
  <cp:lastModifiedBy>USER_SUR02</cp:lastModifiedBy>
  <cp:revision>2</cp:revision>
  <dcterms:created xsi:type="dcterms:W3CDTF">2014-07-31T15:23:00Z</dcterms:created>
  <dcterms:modified xsi:type="dcterms:W3CDTF">2014-07-31T15:25:00Z</dcterms:modified>
</cp:coreProperties>
</file>