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460"/>
        <w:gridCol w:w="2013"/>
        <w:gridCol w:w="1559"/>
      </w:tblGrid>
      <w:tr w:rsidR="00D05139" w:rsidRPr="004870A4" w:rsidTr="00D05139">
        <w:trPr>
          <w:trHeight w:val="700"/>
        </w:trPr>
        <w:tc>
          <w:tcPr>
            <w:tcW w:w="659" w:type="dxa"/>
            <w:shd w:val="clear" w:color="auto" w:fill="auto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0A4">
              <w:rPr>
                <w:rFonts w:ascii="Times New Roman" w:hAnsi="Times New Roman"/>
                <w:b/>
                <w:bCs/>
                <w:sz w:val="20"/>
                <w:szCs w:val="20"/>
              </w:rPr>
              <w:t>№№ п/п</w:t>
            </w:r>
          </w:p>
        </w:tc>
        <w:tc>
          <w:tcPr>
            <w:tcW w:w="5460" w:type="dxa"/>
            <w:shd w:val="clear" w:color="auto" w:fill="auto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0A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дебитора</w:t>
            </w:r>
          </w:p>
        </w:tc>
        <w:tc>
          <w:tcPr>
            <w:tcW w:w="2013" w:type="dxa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0A4">
              <w:rPr>
                <w:rFonts w:ascii="Times New Roman" w:hAnsi="Times New Roman"/>
                <w:b/>
                <w:bCs/>
                <w:sz w:val="20"/>
                <w:szCs w:val="20"/>
              </w:rPr>
              <w:t>Сумма требования (руб.)</w:t>
            </w:r>
          </w:p>
        </w:tc>
        <w:tc>
          <w:tcPr>
            <w:tcW w:w="1559" w:type="dxa"/>
            <w:shd w:val="clear" w:color="auto" w:fill="auto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0A4">
              <w:rPr>
                <w:rFonts w:ascii="Times New Roman" w:hAnsi="Times New Roman"/>
                <w:b/>
                <w:bCs/>
                <w:sz w:val="20"/>
                <w:szCs w:val="20"/>
              </w:rPr>
              <w:t>Начальная стоимость,</w:t>
            </w:r>
          </w:p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0A4">
              <w:rPr>
                <w:rFonts w:ascii="Times New Roman" w:hAnsi="Times New Roman"/>
                <w:b/>
                <w:bCs/>
                <w:sz w:val="20"/>
                <w:szCs w:val="20"/>
              </w:rPr>
              <w:t>руб.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АнтАлекс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7 393,25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891,00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ОАО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Атомэнергопроект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51 662 647,83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6 226 538,00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Атомтехэнерго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1 808,00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Балткран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217 345,38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26 195,00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Воронежпромметиз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4 345,13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524,00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Газпродукт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2 410,00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Гильфанов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Дильшат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Мулланурович</w:t>
            </w:r>
            <w:proofErr w:type="spellEnd"/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17 432,00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2 101,00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Еврокомсоюз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1 190,00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143,00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Евролайн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2 590,08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 xml:space="preserve">ООО «Инжиниринговый центр 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Энерго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36 242,96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4 368,00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ЗАО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Интертехэлектро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34 238,79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4 127,00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ИП Ларин Георгий Георгиевич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4 490,00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541,00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 xml:space="preserve">ООО «Компания 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БиТ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2 611,00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315,00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Лебедкин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 xml:space="preserve"> Илья Александрович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10 060,70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1 213,00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МегаТорг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121,00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Металлоцентр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6 106,00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736,00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«ПРОМЭКС»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362,00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Промэнерго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964,00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«Русский Регистр-Уральское качество»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90 720,00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10 934,00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Смольников Александр Геннадьевич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25 379,02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3 059,00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Тарасов Александр Михайлович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37 759,19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4 551,00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ТехноБум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32 837,04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3 958,00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ЗАО «Управляющая компания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Энергомонтаж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48 026,93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5 788,00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Уралспецсталь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1 620,00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195,00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«ЭНКОР-СЕРВИС»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5 630,00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679,00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Юркин Дмитрий Васильевич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3 173,60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382,00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Юрьев Константин Павлович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2 902,70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D05139" w:rsidRPr="004870A4" w:rsidTr="00D05139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ЗАО «Южно-Уральское монтажное управление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Уралэнергомонтаж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vAlign w:val="bottom"/>
          </w:tcPr>
          <w:p w:rsidR="00D05139" w:rsidRPr="004870A4" w:rsidRDefault="00D05139" w:rsidP="00E37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74 357 158,18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5139" w:rsidRPr="004870A4" w:rsidRDefault="00D05139" w:rsidP="00E378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8 961 750,00</w:t>
            </w:r>
          </w:p>
        </w:tc>
      </w:tr>
    </w:tbl>
    <w:p w:rsidR="00084FCA" w:rsidRDefault="00084FCA">
      <w:bookmarkStart w:id="0" w:name="_GoBack"/>
      <w:bookmarkEnd w:id="0"/>
    </w:p>
    <w:sectPr w:rsidR="0008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39"/>
    <w:rsid w:val="00084FCA"/>
    <w:rsid w:val="00D0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55B98-C5EB-49D3-B0C1-A6258CA4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1</cp:revision>
  <dcterms:created xsi:type="dcterms:W3CDTF">2015-02-02T06:13:00Z</dcterms:created>
  <dcterms:modified xsi:type="dcterms:W3CDTF">2015-02-02T06:13:00Z</dcterms:modified>
</cp:coreProperties>
</file>