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5D91" w14:textId="77777777"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14:paraId="290638BA" w14:textId="465D7DB8" w:rsidR="00F244EF" w:rsidRPr="00F244EF" w:rsidRDefault="008A7610" w:rsidP="00F24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 между ОАО «Сбербанк России» и</w:t>
      </w:r>
      <w:r w:rsidR="006365A5" w:rsidRPr="006365A5" w:rsidDel="00CF5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44EF" w:rsidRPr="00F24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</w:t>
      </w:r>
      <w:proofErr w:type="spellStart"/>
      <w:r w:rsidR="00F244EF" w:rsidRPr="00F24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Балтс</w:t>
      </w:r>
      <w:r w:rsidR="004B46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трой</w:t>
      </w:r>
      <w:proofErr w:type="spellEnd"/>
      <w:r w:rsidR="004B46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6EBB021F" w14:textId="77777777"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4D5534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 июля 2015</w:t>
      </w:r>
      <w:r w:rsidRPr="007C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14:paraId="0CCA5BC6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14:paraId="4A2F7107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190FF8EE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14:paraId="14CD7EB5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08.06.2015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28.06.2015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1</w:t>
      </w:r>
      <w:r w:rsidR="0044077B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14:paraId="2A829ABB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bookmarkStart w:id="0" w:name="_GoBack"/>
      <w:r w:rsidR="00513769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26.06.2015</w:t>
      </w:r>
      <w:bookmarkEnd w:id="0"/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F76BB84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08.07.2015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3904B103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040795E3" w14:textId="77777777"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320DD81E" w14:textId="77777777"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proofErr w:type="gramStart"/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</w:t>
      </w:r>
      <w:proofErr w:type="gramEnd"/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</w:t>
      </w: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</w:p>
    <w:p w14:paraId="5828C8A5" w14:textId="77777777"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14:paraId="2FA6424D" w14:textId="77777777"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14:paraId="184A4E14" w14:textId="77777777"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75A22164" w14:textId="77777777" w:rsidR="008A7610" w:rsidRPr="008A7610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E7E825" w14:textId="77777777" w:rsidR="009C053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C1C628" w14:textId="77777777"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="008105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2DBC9E5" w14:textId="77777777"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4DD161C" w14:textId="03B331F5" w:rsidR="00513769" w:rsidRPr="00513769" w:rsidRDefault="00A65DF2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C72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 на торгах подлежат 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(далее - Права), являющиеся предметом торгов, </w:t>
      </w:r>
      <w:r w:rsidR="00513769" w:rsidRPr="00513769">
        <w:rPr>
          <w:rFonts w:ascii="Times New Roman" w:eastAsia="Times New Roman" w:hAnsi="Times New Roman"/>
          <w:sz w:val="24"/>
          <w:szCs w:val="24"/>
          <w:lang w:eastAsia="ru-RU"/>
        </w:rPr>
        <w:t>возникшие из заключенных с ООО «</w:t>
      </w:r>
      <w:proofErr w:type="spellStart"/>
      <w:r w:rsidR="00513769"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="00513769"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 (ИНН 7841303743, ОГРН 1047855096882): </w:t>
      </w:r>
    </w:p>
    <w:p w14:paraId="00A5E154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мирового соглашения от 26.06.2014 г., заключенного в рамках третейского разбирательства по делу №Т-СПБ/14-1567 в рамках урегулирования спора, возникшего в связи с неисполнением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обязательств по договору об открытии 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г.; </w:t>
      </w:r>
    </w:p>
    <w:p w14:paraId="76C20CFC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об открытии 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 с учетом дополнительного соглашения №1 от 18.03.2013 г. 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(далее – Кредитный договор).</w:t>
      </w:r>
    </w:p>
    <w:p w14:paraId="0D79059B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с уступкой прав (требований), уступке подлежат права, принадлежащие 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ОАО Сбербанк России»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в обеспечение исполнения обязательств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76D8B318" w14:textId="6D26DA15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2006-2-106812-З-01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с учетом дополнительных соглашений №1 от 18.03.2013 г., №2 от 22.01.2015 г.;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5B8ADD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2006-2-106812-З-02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учетом дополнительных соглашений №1 от 18.03.2013 г., №2 от 14.02.2014 г., №3 от 22.01.2015 г.;   </w:t>
      </w:r>
    </w:p>
    <w:p w14:paraId="3CEB36E6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2006-2-106812-З-03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с учетом дополнительных соглашений №1 от 18.03.2013 г., №2 от 14.02.2014 г., №3 от 22.01.2015 г.;  </w:t>
      </w:r>
    </w:p>
    <w:p w14:paraId="26A5DDB6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2006-2-106812-З-04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учетом дополнительных соглашений №1 от 18.03.2013 г., №2 от 14.02.2014 г., №3 от 22.01.2015 г.;   </w:t>
      </w:r>
    </w:p>
    <w:p w14:paraId="443765E2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2006-2-106812-З-05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учетом дополнительных соглашений №1 от 18.03.2013 г., №2 от 14.02.2014 г.;     </w:t>
      </w:r>
    </w:p>
    <w:p w14:paraId="1C4C75FB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2006-2-106812-З-06 от 21.03.2014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», с учетом дополнительного соглашения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№1 от 22.01.2015 г.; </w:t>
      </w:r>
    </w:p>
    <w:p w14:paraId="3C56E0B8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договор ипотеки № 2006-2-106812/И1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BF7D812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ипотеки № 2006-2-106812/И2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плюс»;</w:t>
      </w:r>
    </w:p>
    <w:p w14:paraId="1E291397" w14:textId="06894A33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доли в уставном капитале № 2006-2-106812/ЗД от 10.10.2012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28E154CF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 залога ценных бумаг № 2006-2-106812/ЦБ </w:t>
      </w:r>
      <w:proofErr w:type="gram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от  10.10.2012</w:t>
      </w:r>
      <w:proofErr w:type="gram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77F5194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2006-2-106812-П-01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с учетом дополнительного соглашения №1 от 18.03.2013 г.;</w:t>
      </w:r>
    </w:p>
    <w:p w14:paraId="1A698671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2006-2-106812-П-02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», с учетом дополнительного соглашения №1 от 18.03.2013 г.;</w:t>
      </w:r>
    </w:p>
    <w:p w14:paraId="5D575133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договор поручительства № 2006-2-106812-П-03 от 18.09.2012 г., заключенный с ООО «Ресурс</w:t>
      </w:r>
      <w:proofErr w:type="gram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»,  с</w:t>
      </w:r>
      <w:proofErr w:type="gram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дополнительного соглашения №1 от 18.03.2013 г.;</w:t>
      </w:r>
    </w:p>
    <w:p w14:paraId="79D2FB8C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 поручительства № 2006-2-106812-ПФЛ-01 от 18.09.2012 г., заключенный с 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Ващинкиным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Викторовичем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положений п.1.10 Договора;</w:t>
      </w:r>
    </w:p>
    <w:p w14:paraId="2E092AE3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2006-2-106812-ПФЛ-02 от 18.09.2012 г., заключенный с Стрельченко Алексеем Вячеславовичем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положений п.1.10 Договора;</w:t>
      </w:r>
    </w:p>
    <w:p w14:paraId="30BF1836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2006-2-106812-ПФЛ-03 от 18.09.2012 г., заключенный с Кулага Ольгой Алексеевной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положений п.1.10 Договора;</w:t>
      </w:r>
    </w:p>
    <w:p w14:paraId="2E10AFFA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2006-2-106812-П-04 от 26.06.2014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Росстрой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513BD3EC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2006-2-106812-П-05 от 26.06.2014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Балттранс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7F3DF739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2006-1-106812-П-06 от 26.06.2014 г., заключенный с ООО «Декор»;</w:t>
      </w:r>
    </w:p>
    <w:p w14:paraId="07423488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2006-2-106812-П-07 от 26.06.2014 г., заключенный с ООО «Просто Приди»;</w:t>
      </w:r>
    </w:p>
    <w:p w14:paraId="11E5EB66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2006-2-106812-П-08 от 26.06.2014 г., заключенный с ООО «Мэтр»;</w:t>
      </w:r>
    </w:p>
    <w:p w14:paraId="3C845F0D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2006-2-106814-З-07 от 26.06.2014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3D3F5C00" w14:textId="77777777"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2006-2-106812-З-08 от 26.06.2014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плюс»;</w:t>
      </w:r>
    </w:p>
    <w:p w14:paraId="42B94384" w14:textId="77777777" w:rsid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договор залога № 2006-2-106812-З-09от 26.06.2014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плюс».</w:t>
      </w:r>
    </w:p>
    <w:p w14:paraId="241E0518" w14:textId="0402E6C4" w:rsidR="00004030" w:rsidRPr="00004030" w:rsidRDefault="00004030" w:rsidP="0000403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рава (требования) ОАО «Сбербанк России» к ООО «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», вытекающие из мирового соглашения от 26.06.2014 г., заключенного в рамках третейского разбирательства по делу №Т-СПБ/14-1567 в рамках урегулирования спора, возникшего в связи с неисполнением 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», обязательств по договору об открытии 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г., с учетом дополнительного соглашения №1 от 18.03.2013 г., на часть суммы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долга в размере 30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000 рублей, не подлежат уступке по договору цессии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B63B8B" w14:textId="7E5B9FC7" w:rsidR="00004030" w:rsidRPr="00004030" w:rsidRDefault="00004030" w:rsidP="0000403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обеспечение обязательств на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сумму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в размере 30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(требования) ОАО «Сбербанк России» к поручителям 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Ващинкину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по договору поручительства № 2006-2-106812-ПФЛ-01 от 18.09.2012 г., Стрельченко А.В. по договору поручительства № 2006-2-106812-ПФЛ-02 от 18.09.2012 г., Кулага О.А. по договору поручительства № 2006-2-106812-ПФЛ-03 от 18.09.2012 г., сохраняются за </w:t>
      </w:r>
      <w:r w:rsidR="00A65DF2" w:rsidRPr="00A65DF2"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58172D0" w14:textId="535B4C4E" w:rsidR="00004030" w:rsidRDefault="00A65DF2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рава (треб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>ования) ОАО «Сбербанк России» к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 (ИНН 7841303743, ОГРН 1047855096882),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 (ИНН 4717003080, ОГРН 1024702009716), ЗАО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(ИНН 4717005465, ОГРН 1024702009804), ООО «Ресурс» (ИНН 7801574546, ОГРН 1127847265336),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Росстрой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 (ИНН 7840468527, ОГРН 1127847203208),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Балттранс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», (ИНН 7842477735, ОГРН 1127847347990), ООО «Декор» (ИНН 7813307626, ОГРН 1047855096684), ООО «Просто Приди» (ИНН 784233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4984, ОГРН 5067847003527), ООО 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«Мэтр» (ИНН 7813179639, ОГРН 1037828025839), 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Ващинкину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, Стрельченко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, Кулага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возмещение понесенных </w:t>
      </w:r>
      <w:r w:rsidRPr="00A65DF2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</w:t>
      </w:r>
      <w:proofErr w:type="gramStart"/>
      <w:r w:rsidRPr="00A65DF2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России» 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судебных</w:t>
      </w:r>
      <w:proofErr w:type="gram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не подлежат уступке по договору цессии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1E54A7" w14:textId="77777777" w:rsidR="00004030" w:rsidRPr="00513769" w:rsidRDefault="00004030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5FFEC9" w14:textId="77777777" w:rsidR="006E165E" w:rsidRPr="006E165E" w:rsidRDefault="006E165E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65E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14:paraId="75BE4B12" w14:textId="77777777" w:rsidR="00EF0605" w:rsidRDefault="00EF0605" w:rsidP="00EF06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Третейского суда при Автономной некоммерческой </w:t>
      </w:r>
      <w:proofErr w:type="gram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организации  «</w:t>
      </w:r>
      <w:proofErr w:type="gram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Независимая Арбитражная Палата» от 26.06.2014 г.  по делу №Т-СПБ/14-1567 (полный текст решения изготовлен 26.06.2014 г.) утверждено мировое соглашение от 26.06.2014 г., заключенное между ОАО «Сбербанк России» и 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ЗАО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«Ресурс», 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Ващинкиным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, Стрельченко А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, Кулага О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рамках урегулирования спора, возникшего в связи с неисполнением 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», обязательств по </w:t>
      </w:r>
      <w:r w:rsidRPr="00F02E04">
        <w:rPr>
          <w:rFonts w:ascii="Times New Roman" w:eastAsia="Times New Roman" w:hAnsi="Times New Roman"/>
          <w:sz w:val="24"/>
          <w:szCs w:val="24"/>
          <w:lang w:eastAsia="ru-RU"/>
        </w:rPr>
        <w:t>Кредитному договору.</w:t>
      </w:r>
    </w:p>
    <w:p w14:paraId="2052DA84" w14:textId="3EAE0186" w:rsidR="00EF0605" w:rsidRPr="004B32C3" w:rsidRDefault="004B32C3" w:rsidP="004B3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ООО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» (ИНН 7841303743, ОГРН 1047855096882)</w:t>
      </w:r>
      <w:r w:rsidR="00F02E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Арбитражным судом Санкт-Петербурга и Ленинградской области по заявлению ООО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» возбуждено производство по делу о </w:t>
      </w:r>
      <w:proofErr w:type="gram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несостоятельности  (</w:t>
      </w:r>
      <w:proofErr w:type="gram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банкротстве) должника №А56-3292/2015.</w:t>
      </w:r>
      <w:r w:rsidRPr="004B3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02E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475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ООО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» (ИНН 4717003080, ОГРН 1024702009716)</w:t>
      </w:r>
      <w:r w:rsidR="00F02E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Арбитражным судом Санкт-Петербурга и Ленинградской области по заявлению ОАО «Сбербанк России» возбуждено производст</w:t>
      </w:r>
      <w:r w:rsidR="00F02E04">
        <w:rPr>
          <w:rFonts w:ascii="Times New Roman" w:eastAsia="Times New Roman" w:hAnsi="Times New Roman"/>
          <w:sz w:val="24"/>
          <w:szCs w:val="24"/>
          <w:lang w:eastAsia="ru-RU"/>
        </w:rPr>
        <w:t xml:space="preserve">во по делу о несостоятельности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(банкротстве) должника №А56-13040/2015.</w:t>
      </w:r>
      <w:r w:rsidRPr="004B3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475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отношении ЗАО «</w:t>
      </w:r>
      <w:proofErr w:type="spellStart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(ИНН 4717005465, ОГРН 1024702009804)</w:t>
      </w:r>
      <w:r w:rsidR="00F02E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Арбитражным судом Санкт-Петербурга и Ленинградской области по заявлению ОАО «Сбербанк России» возбуждено производст</w:t>
      </w:r>
      <w:r w:rsidR="00CD6956">
        <w:rPr>
          <w:rFonts w:ascii="Times New Roman" w:eastAsia="Times New Roman" w:hAnsi="Times New Roman"/>
          <w:sz w:val="24"/>
          <w:szCs w:val="24"/>
          <w:lang w:eastAsia="ru-RU"/>
        </w:rPr>
        <w:t xml:space="preserve">во по делу о несостоятельности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>(банкротстве) должника №А56-13038/2015.</w:t>
      </w:r>
      <w:r w:rsidRPr="004B3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595BFDD" w14:textId="663B1723" w:rsidR="004B32C3" w:rsidRPr="004B32C3" w:rsidRDefault="00B24AB3" w:rsidP="004B32C3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0"/>
          <w:lang w:eastAsia="ru-RU"/>
        </w:rPr>
      </w:pPr>
      <w:r w:rsidRPr="00B24A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Третейского суда при Автономной некоммерческой </w:t>
      </w:r>
      <w:proofErr w:type="gram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организации  «</w:t>
      </w:r>
      <w:proofErr w:type="gram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Независимая Арбитражная Палата» по делу № Т-СПб/15-0987 </w:t>
      </w:r>
      <w:r w:rsidRPr="00B24A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27.04.2015 г. 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(полный текст решения изготовлен 15.05.2015 г.) взыскана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Росстрой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Балттранс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«Декор»,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«Просто Приди»,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«Мэтр» в пользу ОАО «Сбербанк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России» задолженность</w:t>
      </w:r>
      <w:r w:rsidR="00EF0605">
        <w:rPr>
          <w:rFonts w:ascii="NTTimes/Cyrillic" w:eastAsia="Times New Roman" w:hAnsi="NTTimes/Cyrillic"/>
          <w:sz w:val="24"/>
          <w:szCs w:val="20"/>
          <w:lang w:eastAsia="ru-RU"/>
        </w:rPr>
        <w:t xml:space="preserve">, которая 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по состоянию 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>на 19.01.2015 г.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</w:t>
      </w:r>
      <w:r w:rsidR="00EF0605">
        <w:rPr>
          <w:rFonts w:asciiTheme="minorHAnsi" w:eastAsia="Times New Roman" w:hAnsiTheme="minorHAnsi"/>
          <w:sz w:val="24"/>
          <w:szCs w:val="20"/>
          <w:lang w:eastAsia="ru-RU"/>
        </w:rPr>
        <w:t xml:space="preserve"> </w:t>
      </w:r>
      <w:r w:rsidR="00EF0605" w:rsidRPr="00EF06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составляет 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>388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val="en-US" w:eastAsia="ru-RU"/>
        </w:rPr>
        <w:t> 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>067</w:t>
      </w:r>
      <w:r w:rsidR="005F166D">
        <w:rPr>
          <w:rFonts w:ascii="NTTimes/Cyrillic" w:eastAsia="Times New Roman" w:hAnsi="NTTimes/Cyrillic"/>
          <w:b/>
          <w:sz w:val="24"/>
          <w:szCs w:val="20"/>
          <w:lang w:val="en-US" w:eastAsia="ru-RU"/>
        </w:rPr>
        <w:t> 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>090</w:t>
      </w:r>
      <w:r w:rsidR="005F166D" w:rsidRPr="005F166D">
        <w:rPr>
          <w:rFonts w:ascii="NTTimes/Cyrillic" w:eastAsia="Times New Roman" w:hAnsi="NTTimes/Cyrillic"/>
          <w:b/>
          <w:sz w:val="24"/>
          <w:szCs w:val="20"/>
          <w:lang w:eastAsia="ru-RU"/>
        </w:rPr>
        <w:t>,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 xml:space="preserve"> </w:t>
      </w:r>
      <w:r w:rsidR="005F166D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 xml:space="preserve">01 </w:t>
      </w:r>
      <w:r w:rsidR="004B32C3" w:rsidRPr="004B32C3">
        <w:rPr>
          <w:rFonts w:ascii="NTTimes/Cyrillic" w:eastAsia="Times New Roman" w:hAnsi="NTTimes/Cyrillic"/>
          <w:b/>
          <w:sz w:val="24"/>
          <w:szCs w:val="20"/>
          <w:lang w:eastAsia="ru-RU"/>
        </w:rPr>
        <w:t>рублей,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в том числе: просроченная </w:t>
      </w:r>
      <w:proofErr w:type="gramStart"/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задолженность  379</w:t>
      </w:r>
      <w:proofErr w:type="gramEnd"/>
      <w:r w:rsidR="004B32C3" w:rsidRPr="004B32C3">
        <w:rPr>
          <w:rFonts w:ascii="NTTimes/Cyrillic" w:eastAsia="Times New Roman" w:hAnsi="NTTimes/Cyrillic"/>
          <w:sz w:val="24"/>
          <w:szCs w:val="20"/>
          <w:lang w:val="en-US" w:eastAsia="ru-RU"/>
        </w:rPr>
        <w:t> 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973</w:t>
      </w:r>
      <w:r w:rsidR="004B32C3" w:rsidRPr="004B32C3">
        <w:rPr>
          <w:rFonts w:ascii="NTTimes/Cyrillic" w:eastAsia="Times New Roman" w:hAnsi="NTTimes/Cyrillic"/>
          <w:sz w:val="24"/>
          <w:szCs w:val="20"/>
          <w:lang w:val="en-US" w:eastAsia="ru-RU"/>
        </w:rPr>
        <w:t> 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039,11 рублей, просроченные проценты 6 510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> 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006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>, 28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рублей, неустойка по основному долгу 1 518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> 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933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 xml:space="preserve">, </w:t>
      </w:r>
      <w:r w:rsidR="005F166D" w:rsidRPr="004B32C3">
        <w:rPr>
          <w:rFonts w:ascii="NTTimes/Cyrillic" w:eastAsia="Times New Roman" w:hAnsi="NTTimes/Cyrillic"/>
          <w:sz w:val="24"/>
          <w:szCs w:val="20"/>
          <w:lang w:eastAsia="ru-RU"/>
        </w:rPr>
        <w:t>03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 xml:space="preserve"> 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рубля, неустойка по процентам за пользование кредитом 65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> 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111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>,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</w:t>
      </w:r>
      <w:r w:rsidR="005F166D" w:rsidRPr="004B32C3">
        <w:rPr>
          <w:rFonts w:ascii="NTTimes/Cyrillic" w:eastAsia="Times New Roman" w:hAnsi="NTTimes/Cyrillic"/>
          <w:sz w:val="24"/>
          <w:szCs w:val="20"/>
          <w:lang w:eastAsia="ru-RU"/>
        </w:rPr>
        <w:t>59</w:t>
      </w:r>
      <w:r w:rsidR="005F166D" w:rsidRPr="005F166D">
        <w:rPr>
          <w:rFonts w:ascii="NTTimes/Cyrillic" w:eastAsia="Times New Roman" w:hAnsi="NTTimes/Cyrillic"/>
          <w:sz w:val="24"/>
          <w:szCs w:val="20"/>
          <w:lang w:eastAsia="ru-RU"/>
        </w:rPr>
        <w:t xml:space="preserve"> 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рублей; в счет погашения </w:t>
      </w:r>
      <w:r w:rsidR="00EF0605" w:rsidRPr="00EF0605">
        <w:rPr>
          <w:rFonts w:ascii="NTTimes/Cyrillic" w:eastAsia="Times New Roman" w:hAnsi="NTTimes/Cyrillic"/>
          <w:sz w:val="24"/>
          <w:szCs w:val="20"/>
          <w:lang w:eastAsia="ru-RU"/>
        </w:rPr>
        <w:t xml:space="preserve">указанной 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задолженности обращено взыскание на </w:t>
      </w:r>
      <w:r w:rsidR="00EF0605" w:rsidRPr="004B32C3">
        <w:rPr>
          <w:rFonts w:ascii="NTTimes/Cyrillic" w:eastAsia="Times New Roman" w:hAnsi="NTTimes/Cyrillic"/>
          <w:sz w:val="24"/>
          <w:szCs w:val="20"/>
          <w:lang w:eastAsia="ru-RU"/>
        </w:rPr>
        <w:t>заложенное имущество</w:t>
      </w:r>
      <w:r w:rsidR="00EF0605">
        <w:rPr>
          <w:rFonts w:ascii="NTTimes/Cyrillic" w:eastAsia="Times New Roman" w:hAnsi="NTTimes/Cyrillic"/>
          <w:sz w:val="24"/>
          <w:szCs w:val="20"/>
          <w:lang w:eastAsia="ru-RU"/>
        </w:rPr>
        <w:t xml:space="preserve">, 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принадлежащее </w:t>
      </w:r>
      <w:r w:rsidRPr="00B24AB3">
        <w:rPr>
          <w:rFonts w:ascii="NTTimes/Cyrillic" w:eastAsia="Times New Roman" w:hAnsi="NTTimes/Cyrillic"/>
          <w:sz w:val="24"/>
          <w:szCs w:val="20"/>
          <w:lang w:eastAsia="ru-RU"/>
        </w:rPr>
        <w:t>ООО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«</w:t>
      </w:r>
      <w:proofErr w:type="spellStart"/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Щебсервис</w:t>
      </w:r>
      <w:proofErr w:type="spellEnd"/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» (ИНН</w:t>
      </w:r>
      <w:r w:rsidR="00EF0605">
        <w:rPr>
          <w:rFonts w:ascii="NTTimes/Cyrillic" w:eastAsia="Times New Roman" w:hAnsi="NTTimes/Cyrillic"/>
          <w:sz w:val="24"/>
          <w:szCs w:val="20"/>
          <w:lang w:eastAsia="ru-RU"/>
        </w:rPr>
        <w:t xml:space="preserve"> 4717003080) и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</w:t>
      </w:r>
      <w:r w:rsidRPr="00B24AB3">
        <w:rPr>
          <w:rFonts w:ascii="NTTimes/Cyrillic" w:eastAsia="Times New Roman" w:hAnsi="NTTimes/Cyrillic"/>
          <w:sz w:val="24"/>
          <w:szCs w:val="20"/>
          <w:lang w:eastAsia="ru-RU"/>
        </w:rPr>
        <w:t>ЗАО</w:t>
      </w:r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«</w:t>
      </w:r>
      <w:proofErr w:type="spellStart"/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>Щебсервис</w:t>
      </w:r>
      <w:proofErr w:type="spellEnd"/>
      <w:r w:rsidR="004B32C3" w:rsidRPr="004B32C3">
        <w:rPr>
          <w:rFonts w:ascii="NTTimes/Cyrillic" w:eastAsia="Times New Roman" w:hAnsi="NTTimes/Cyrillic"/>
          <w:sz w:val="24"/>
          <w:szCs w:val="20"/>
          <w:lang w:eastAsia="ru-RU"/>
        </w:rPr>
        <w:t xml:space="preserve"> плюс» (ИНН</w:t>
      </w:r>
      <w:r w:rsidR="00EF0605">
        <w:rPr>
          <w:rFonts w:ascii="NTTimes/Cyrillic" w:eastAsia="Times New Roman" w:hAnsi="NTTimes/Cyrillic"/>
          <w:sz w:val="24"/>
          <w:szCs w:val="20"/>
          <w:lang w:eastAsia="ru-RU"/>
        </w:rPr>
        <w:t xml:space="preserve"> 4717005465).</w:t>
      </w:r>
    </w:p>
    <w:p w14:paraId="5C1FAF58" w14:textId="6573A594" w:rsidR="004B32C3" w:rsidRPr="004B32C3" w:rsidRDefault="00CD6956" w:rsidP="004B32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Дзержинском районном суде г. Санкт-Петербурга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делу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№2-1825/2015 рассматривается заявление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выдаче исполнительных листов на принудительное исполнение</w:t>
      </w:r>
      <w:r w:rsid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ешения Третейского суда при Автономной некоммерческой организации  «Независимая Арбитражная Палата» от 26.06.2014 г. по делу №Т-СПБ/14-1567, содержащих указание на необходимость взыскания в пользу 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«Сбербанк России» 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ООО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», ООО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», ЗАО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ООО «Ресурс», 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Ващинкина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Дмитрия  Викторовича, Стрельченко Алексея Вячеславовича, Кулага Ольги Алексеевны в солидарном порядке задолженности </w:t>
      </w:r>
      <w:r w:rsidR="00004030">
        <w:rPr>
          <w:rFonts w:ascii="Times New Roman" w:eastAsia="Times New Roman" w:hAnsi="Times New Roman"/>
          <w:sz w:val="24"/>
          <w:szCs w:val="24"/>
          <w:lang w:eastAsia="ru-RU"/>
        </w:rPr>
        <w:t>Кредитному договору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388 067</w:t>
      </w:r>
      <w:r w:rsidR="007325A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090</w:t>
      </w:r>
      <w:r w:rsidR="007325AB">
        <w:rPr>
          <w:rFonts w:ascii="Times New Roman" w:eastAsia="Times New Roman" w:hAnsi="Times New Roman"/>
          <w:sz w:val="24"/>
          <w:szCs w:val="24"/>
          <w:lang w:eastAsia="ru-RU"/>
        </w:rPr>
        <w:t>, 01</w:t>
      </w:r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а также обращение взыскания на заложенное имущество, принадлежащее ООО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», ООО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», ЗАО «</w:t>
      </w:r>
      <w:proofErr w:type="spellStart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4B32C3" w:rsidRP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плюс».</w:t>
      </w:r>
    </w:p>
    <w:p w14:paraId="7FBD4E2F" w14:textId="77777777" w:rsidR="004B32C3" w:rsidRDefault="004B32C3" w:rsidP="009F22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4F6A3E" w14:textId="5E3CD4D7"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2D34E8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="002D34E8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ипотеки 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и залога</w:t>
      </w:r>
      <w:r w:rsidR="003A5647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указанных в п. 1. настоящего информационного сообщения</w:t>
      </w:r>
      <w:r w:rsidR="003A5647" w:rsidRPr="00013F19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67E4D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>обеспечиваю</w:t>
      </w:r>
      <w:r w:rsidR="003C186E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тся залогом 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недвижимого и движимого </w:t>
      </w:r>
      <w:r w:rsidR="008209CB" w:rsidRPr="00013F19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11E74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(подробный 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>перечень размещен на</w:t>
      </w:r>
      <w:r w:rsidR="00C11E74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8" w:history="1">
        <w:r w:rsidR="00C11E74" w:rsidRPr="00013F19">
          <w:rPr>
            <w:rFonts w:ascii="Times New Roman" w:hAnsi="Times New Roman"/>
            <w:b/>
            <w:bCs/>
            <w:sz w:val="24"/>
            <w:szCs w:val="24"/>
            <w:lang w:eastAsia="ru-RU"/>
          </w:rPr>
          <w:t>www.lot-online.ru</w:t>
        </w:r>
      </w:hyperlink>
      <w:r w:rsidR="00C11E74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E256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в разд</w:t>
      </w:r>
      <w:r w:rsidR="001E2562" w:rsidRPr="00013F19">
        <w:rPr>
          <w:rFonts w:ascii="Times New Roman" w:hAnsi="Times New Roman"/>
          <w:b/>
          <w:sz w:val="24"/>
          <w:szCs w:val="24"/>
          <w:lang w:eastAsia="ru-RU"/>
        </w:rPr>
        <w:t>еле «карточка лота».</w:t>
      </w:r>
      <w:r w:rsidR="00C11E74" w:rsidRPr="00013F19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406D5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14:paraId="24F253CD" w14:textId="77777777" w:rsid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72B15B" w14:textId="77777777" w:rsidR="00C11E74" w:rsidRPr="000F477B" w:rsidRDefault="00C11E74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85999D" w14:textId="4FF4C971" w:rsidR="000F477B" w:rsidRPr="00BF7127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395 073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451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89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14:paraId="43631A70" w14:textId="3421A85C" w:rsidR="00982833" w:rsidRPr="00BF7127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-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200 000 000</w:t>
      </w:r>
      <w:r w:rsidR="00BF7127" w:rsidRPr="00BF7127" w:rsidDel="004E3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4077B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14:paraId="4BFA2503" w14:textId="60A0B530" w:rsidR="000F477B" w:rsidRPr="00BF7127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-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10 000 000 </w:t>
      </w:r>
      <w:r w:rsidR="0044077B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14:paraId="566AB443" w14:textId="2741358F" w:rsidR="000F477B" w:rsidRPr="00BF7127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- 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8 481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454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>, 43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64DF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рублей </w:t>
      </w:r>
    </w:p>
    <w:p w14:paraId="569255D1" w14:textId="0BB0735D" w:rsid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повышение 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200 000 </w:t>
      </w:r>
      <w:r w:rsidR="0044077B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14:paraId="3112EC1A" w14:textId="77777777" w:rsidR="00BF7127" w:rsidRDefault="00BF7127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F306D8" w14:textId="77777777"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45A7717" w14:textId="77777777"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14:paraId="57F0C78C" w14:textId="77777777"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B243700" w14:textId="77777777"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14:paraId="475EDF7B" w14:textId="77777777"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DB03B6A" w14:textId="77777777" w:rsidR="00BD64DF" w:rsidRPr="00BD64DF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BD64DF">
          <w:rPr>
            <w:rStyle w:val="af8"/>
            <w:rFonts w:ascii="Times New Roman" w:eastAsia="Times New Roman" w:hAnsi="Times New Roman"/>
            <w:bCs/>
            <w:sz w:val="24"/>
            <w:szCs w:val="24"/>
            <w:lang w:eastAsia="ru-RU"/>
          </w:rPr>
          <w:t>www.lot-online.ru</w:t>
        </w:r>
      </w:hyperlink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CE42129" w14:textId="77777777"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D8D898" w14:textId="77777777"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14:paraId="67FA099F" w14:textId="77777777"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E5000C2" w14:textId="7957DB16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аффилированными по отношению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Балтстрой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7841303743, ОГРН 1047855096882),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4717003080, ОГРН 1024702009716), ЗАО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Плюс» (ИНН 4717005465, ОГРН 1024702009804), ООО «Ресурс» (ИНН 7801574546, ОГРН 1127847265336),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Росстрой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7840468527, ОГРН 1127847203208),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Балттранс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(ИНН 7842477735, ОГРН 1127847347990), ООО «Декор» (ИНН 7813307626, ОГРН 1047855096684), ООО «Просто Приди» (ИНН 7842334984, ОГРН 5067847003527), ООО  «Мэтр» (ИНН 7813179639, ОГРН 1037828025839), 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Ващинкину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Дмитрию  Викторовичу, Стрельченко Алексею Вячесла</w:t>
      </w:r>
      <w:r w:rsid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вовичу, Кулага Ольге Алексеевне,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E3A172C" w14:textId="77777777"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597E732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F8D5ECD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4D7ABF34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79061AD5" w14:textId="77777777"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4061A0" w14:textId="77777777"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14:paraId="12EE27E5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14:paraId="557D3DE7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0BCAC39" w14:textId="65C68034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127D05D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0F714878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14:paraId="07F5DE6B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14:paraId="7E625289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14:paraId="1D053D4B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14:paraId="6D0D32E5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2E66746D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B8D4F8B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7314815" w14:textId="77777777"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14:paraId="68A73D7F" w14:textId="77777777"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72EF123E" w14:textId="77777777"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589BBDF2" w14:textId="77777777" w:rsidR="001E4B3C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14:paraId="69D2DCA1" w14:textId="77777777" w:rsidR="00680710" w:rsidRPr="001E4B3C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07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59670605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05EDF7B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32B06094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3375E103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14:paraId="4C46025C" w14:textId="0B3125C8"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Сбербанка России (ОАО) г. Санкт-Петербург, к/с 30101810500000000653, БИК 044030653</w:t>
      </w:r>
      <w:r w:rsidR="00ED0C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(только для юридических лиц)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14:paraId="34D56E32" w14:textId="2B226E2B" w:rsidR="00AA4940" w:rsidRDefault="00ED0C2E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40702810935000014048 в П</w:t>
      </w:r>
      <w:r w:rsidR="00AA4940"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«Банк Санкт-Петербург», к/с 30101810900000000790, БИК 044030790;</w:t>
      </w:r>
    </w:p>
    <w:p w14:paraId="1E4D259D" w14:textId="6DE4D6BC" w:rsidR="00ED0C2E" w:rsidRPr="00ED0C2E" w:rsidRDefault="00ED0C2E" w:rsidP="00C8359F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0C2E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40702810100050002133 в Филиал С-Петербург ПАО Банка «ФК Открытие», к/с 30101810200000000720, БИК 044030720.</w:t>
      </w:r>
    </w:p>
    <w:p w14:paraId="155BB8C6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C33CE" w14:textId="77777777"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6EC68AA" w14:textId="77777777"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один из расчётных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14:paraId="3677FAEE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3E246A4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14:paraId="0ABCD4AD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FC5C8D" w:rsidRPr="00FC5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937B530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14:paraId="392E98BA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14:paraId="4BA5EA71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371FC6D8" w14:textId="312574BF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591C257B" w14:textId="120C3C24"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690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  <w:r w:rsidR="002569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086925" w14:textId="77777777" w:rsidR="00256906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Претендент не допускается к участию в аукционе в случае, если</w:t>
      </w:r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будут выявлены признаки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аффилированности</w:t>
      </w:r>
      <w:proofErr w:type="spellEnd"/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отношению </w:t>
      </w:r>
      <w:r w:rsidR="009C0539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Балтстрой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7841303743, ОГРН 1047855096882), 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4717003080, ОГРН 1024702009716), ЗАО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Плюс» (ИНН 4717005465, ОГРН 1024702009804), ООО «Ресурс» (ИНН 7801574546, ОГРН 1127847265336), 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Росстрой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7840468527, ОГРН 1127847203208), 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Балттранс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(ИНН 7842477735, ОГРН 1127847347990), ООО «Декор» (ИНН 7813307626, ОГРН 1047855096684), ООО «Просто Приди» (ИНН 7842334984, ОГРН 5067847003527), ООО  «Мэтр» (ИНН 7813179639, ОГРН 1037828025839), 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Ващинкину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Дмитрию  Викторовичу, Стрельченко Алексею Вячеславовичу, Кулага Ольге Алексее</w:t>
      </w:r>
      <w:r w:rsid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вне. </w:t>
      </w:r>
    </w:p>
    <w:p w14:paraId="27D6D7CC" w14:textId="24B6B451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14:paraId="7821671A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47D40EA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4301D36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DD700C" w14:textId="77777777"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14:paraId="3E201E27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3194EF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3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2B7BB4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356B01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556CB33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0DBE2219" w14:textId="01E21FEE"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«Сбербанк России»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течение 3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подведения итогов аукциона в соответствии с примерной формой, размещенной на сайте www.lot-online.ru.</w:t>
      </w:r>
    </w:p>
    <w:p w14:paraId="522EBFE5" w14:textId="1396D8EE"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«Сбербанк России»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14:paraId="6684917A" w14:textId="411CE453"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«Сбербанк России»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единственным участником аукциона по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минимальной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цене продажи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>Прав</w:t>
      </w:r>
      <w:r w:rsidR="00FC5C8D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дней с даты признания аукциона несостоявшимся. </w:t>
      </w:r>
    </w:p>
    <w:p w14:paraId="06CDD4A2" w14:textId="43C484AE"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="003C1A5D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 П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обедит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ель аукциона </w:t>
      </w:r>
      <w:proofErr w:type="gramStart"/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должен  в</w:t>
      </w:r>
      <w:proofErr w:type="gramEnd"/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течение 3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подведения итогов аукциона явиться в ОАО «Сбербанк России» по адресу:</w:t>
      </w:r>
      <w:r w:rsidR="003C1A5D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г. Санкт-Петербург, ул. Красного Текстильщика, д. 2, </w:t>
      </w:r>
      <w:r w:rsidR="003C1A5D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контактный телефон </w:t>
      </w:r>
      <w:r w:rsidR="00C15E34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(812) 647-87-85 Андреев Максим Игоревич</w:t>
      </w:r>
      <w:r w:rsid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C15E34" w:rsidRPr="00C15E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21630021" w14:textId="77777777"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6E08AB15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5D982E34" w14:textId="77777777"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31582F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14:paraId="2A10CE01" w14:textId="77777777"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14:paraId="61BBC86A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14:paraId="7C04725B" w14:textId="77777777"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A403D2" w14:textId="77777777"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C336562" w14:textId="77777777"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AC52F20" w14:textId="77777777"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ADC63F" w14:textId="77777777" w:rsidR="0080090E" w:rsidRDefault="0080090E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A9B672F" w14:textId="77777777" w:rsidR="00A938E2" w:rsidRPr="00AF7A6B" w:rsidRDefault="00A938E2" w:rsidP="00AF7A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D23922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E6BCFE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3ED4ED8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1F65D88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36EF290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25C5514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38C724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C3C990E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BC873EC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13E34D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A03CE26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086518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1B02AA" w14:textId="77777777" w:rsidR="00695246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7420F65" w14:textId="77777777" w:rsidR="00695246" w:rsidRPr="00840AC3" w:rsidRDefault="0069524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557526" w14:textId="77777777" w:rsidR="00D541E5" w:rsidRPr="00840AC3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7C1C60" w14:textId="77777777" w:rsidR="00D541E5" w:rsidRPr="00840AC3" w:rsidRDefault="00D541E5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598C88" w14:textId="77777777" w:rsidR="00021C9E" w:rsidRPr="00840AC3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710869" w14:textId="77777777" w:rsidR="00021C9E" w:rsidRPr="00840AC3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5C772A" w14:textId="77777777" w:rsidR="00021C9E" w:rsidRDefault="00021C9E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45469FD" w14:textId="77777777" w:rsidR="00830DBF" w:rsidRDefault="00830DBF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72DFAF" w14:textId="77777777"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FC0F12" w14:textId="77777777" w:rsidR="004D2276" w:rsidRDefault="004D227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4D2276" w:rsidSect="00695246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1EA0" w14:textId="77777777" w:rsidR="009B1F61" w:rsidRDefault="009B1F61">
      <w:pPr>
        <w:spacing w:after="0" w:line="240" w:lineRule="auto"/>
      </w:pPr>
      <w:r>
        <w:separator/>
      </w:r>
    </w:p>
  </w:endnote>
  <w:endnote w:type="continuationSeparator" w:id="0">
    <w:p w14:paraId="6B38F48F" w14:textId="77777777" w:rsidR="009B1F61" w:rsidRDefault="009B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5F82" w14:textId="77777777" w:rsidR="009B1F61" w:rsidRDefault="009B1F61">
      <w:pPr>
        <w:spacing w:after="0" w:line="240" w:lineRule="auto"/>
      </w:pPr>
      <w:r>
        <w:separator/>
      </w:r>
    </w:p>
  </w:footnote>
  <w:footnote w:type="continuationSeparator" w:id="0">
    <w:p w14:paraId="17B565C6" w14:textId="77777777" w:rsidR="009B1F61" w:rsidRDefault="009B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B365" w14:textId="77777777"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221FEE" w14:textId="77777777" w:rsidR="00D4795E" w:rsidRDefault="00D4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F784" w14:textId="77777777"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BEB">
      <w:rPr>
        <w:rStyle w:val="a5"/>
        <w:noProof/>
      </w:rPr>
      <w:t>2</w:t>
    </w:r>
    <w:r>
      <w:rPr>
        <w:rStyle w:val="a5"/>
      </w:rPr>
      <w:fldChar w:fldCharType="end"/>
    </w:r>
  </w:p>
  <w:p w14:paraId="741D4689" w14:textId="77777777" w:rsidR="00D4795E" w:rsidRDefault="00D4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 w15:restartNumberingAfterBreak="0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 w15:restartNumberingAfterBreak="0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 w15:restartNumberingAfterBreak="0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 w15:restartNumberingAfterBreak="0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6"/>
  </w:num>
  <w:num w:numId="11">
    <w:abstractNumId w:val="29"/>
  </w:num>
  <w:num w:numId="12">
    <w:abstractNumId w:val="28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0"/>
  </w:num>
  <w:num w:numId="30">
    <w:abstractNumId w:val="21"/>
  </w:num>
  <w:num w:numId="31">
    <w:abstractNumId w:val="31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4030"/>
    <w:rsid w:val="00007654"/>
    <w:rsid w:val="00013F19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D0F"/>
    <w:rsid w:val="000C33BF"/>
    <w:rsid w:val="000F477B"/>
    <w:rsid w:val="00103523"/>
    <w:rsid w:val="001341BF"/>
    <w:rsid w:val="001342CF"/>
    <w:rsid w:val="001508C5"/>
    <w:rsid w:val="00152BD0"/>
    <w:rsid w:val="00155B3D"/>
    <w:rsid w:val="00163EA6"/>
    <w:rsid w:val="001711E4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2DD4"/>
    <w:rsid w:val="0021356F"/>
    <w:rsid w:val="002312AD"/>
    <w:rsid w:val="00237580"/>
    <w:rsid w:val="00252806"/>
    <w:rsid w:val="00256906"/>
    <w:rsid w:val="002641B8"/>
    <w:rsid w:val="00272B3A"/>
    <w:rsid w:val="00273DA5"/>
    <w:rsid w:val="00280476"/>
    <w:rsid w:val="00295187"/>
    <w:rsid w:val="002A0239"/>
    <w:rsid w:val="002B5B85"/>
    <w:rsid w:val="002D34E8"/>
    <w:rsid w:val="002E1D02"/>
    <w:rsid w:val="002F75EF"/>
    <w:rsid w:val="00300782"/>
    <w:rsid w:val="00301324"/>
    <w:rsid w:val="00320EA0"/>
    <w:rsid w:val="003268E3"/>
    <w:rsid w:val="00326E24"/>
    <w:rsid w:val="0035351A"/>
    <w:rsid w:val="00364282"/>
    <w:rsid w:val="003726E0"/>
    <w:rsid w:val="0037759C"/>
    <w:rsid w:val="00392102"/>
    <w:rsid w:val="003A5647"/>
    <w:rsid w:val="003A68AE"/>
    <w:rsid w:val="003B776E"/>
    <w:rsid w:val="003C186E"/>
    <w:rsid w:val="003C1A5D"/>
    <w:rsid w:val="003E4BE7"/>
    <w:rsid w:val="003E537A"/>
    <w:rsid w:val="003E6B74"/>
    <w:rsid w:val="004049B9"/>
    <w:rsid w:val="00406D5B"/>
    <w:rsid w:val="004200D2"/>
    <w:rsid w:val="004226E6"/>
    <w:rsid w:val="00425DA3"/>
    <w:rsid w:val="0044077B"/>
    <w:rsid w:val="00440C3A"/>
    <w:rsid w:val="00471870"/>
    <w:rsid w:val="00490F0F"/>
    <w:rsid w:val="00496E3D"/>
    <w:rsid w:val="004A48C4"/>
    <w:rsid w:val="004B2E3B"/>
    <w:rsid w:val="004B32C3"/>
    <w:rsid w:val="004B46F7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3769"/>
    <w:rsid w:val="0051707F"/>
    <w:rsid w:val="0053208D"/>
    <w:rsid w:val="00536546"/>
    <w:rsid w:val="00555DAB"/>
    <w:rsid w:val="005608CD"/>
    <w:rsid w:val="00561BAF"/>
    <w:rsid w:val="00590938"/>
    <w:rsid w:val="00593639"/>
    <w:rsid w:val="00595803"/>
    <w:rsid w:val="005B2B4F"/>
    <w:rsid w:val="005B3826"/>
    <w:rsid w:val="005D2DEE"/>
    <w:rsid w:val="005D5F37"/>
    <w:rsid w:val="005E1948"/>
    <w:rsid w:val="005E3E77"/>
    <w:rsid w:val="005F0550"/>
    <w:rsid w:val="005F166D"/>
    <w:rsid w:val="0061331E"/>
    <w:rsid w:val="0063013D"/>
    <w:rsid w:val="006316C5"/>
    <w:rsid w:val="00632EE6"/>
    <w:rsid w:val="006365A5"/>
    <w:rsid w:val="006371FE"/>
    <w:rsid w:val="00644101"/>
    <w:rsid w:val="00662CC1"/>
    <w:rsid w:val="0066326E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25AB"/>
    <w:rsid w:val="0073797F"/>
    <w:rsid w:val="0075320D"/>
    <w:rsid w:val="0075617C"/>
    <w:rsid w:val="00764E85"/>
    <w:rsid w:val="00775CDB"/>
    <w:rsid w:val="00782843"/>
    <w:rsid w:val="007838CF"/>
    <w:rsid w:val="007929B0"/>
    <w:rsid w:val="00793939"/>
    <w:rsid w:val="007A6E4A"/>
    <w:rsid w:val="007B0AE3"/>
    <w:rsid w:val="007B2073"/>
    <w:rsid w:val="007B6AD0"/>
    <w:rsid w:val="007C7BEB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30DBF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16A6"/>
    <w:rsid w:val="0090343A"/>
    <w:rsid w:val="00910BA0"/>
    <w:rsid w:val="00913A23"/>
    <w:rsid w:val="00952855"/>
    <w:rsid w:val="00953FC0"/>
    <w:rsid w:val="00967E7F"/>
    <w:rsid w:val="00970CBA"/>
    <w:rsid w:val="00982833"/>
    <w:rsid w:val="009B1F61"/>
    <w:rsid w:val="009C0539"/>
    <w:rsid w:val="009C1F6B"/>
    <w:rsid w:val="009C452B"/>
    <w:rsid w:val="009D183F"/>
    <w:rsid w:val="009E028D"/>
    <w:rsid w:val="009F22D1"/>
    <w:rsid w:val="009F4FE6"/>
    <w:rsid w:val="00A165C7"/>
    <w:rsid w:val="00A16C09"/>
    <w:rsid w:val="00A220A5"/>
    <w:rsid w:val="00A25D7A"/>
    <w:rsid w:val="00A54BEF"/>
    <w:rsid w:val="00A55293"/>
    <w:rsid w:val="00A57245"/>
    <w:rsid w:val="00A63E4F"/>
    <w:rsid w:val="00A65DF2"/>
    <w:rsid w:val="00A938E2"/>
    <w:rsid w:val="00AA4940"/>
    <w:rsid w:val="00AB535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24AB3"/>
    <w:rsid w:val="00B30BFA"/>
    <w:rsid w:val="00B3289D"/>
    <w:rsid w:val="00B33E51"/>
    <w:rsid w:val="00B4034C"/>
    <w:rsid w:val="00B569F4"/>
    <w:rsid w:val="00B76B80"/>
    <w:rsid w:val="00B8475C"/>
    <w:rsid w:val="00B949FC"/>
    <w:rsid w:val="00BA390C"/>
    <w:rsid w:val="00BA489E"/>
    <w:rsid w:val="00BA6BB3"/>
    <w:rsid w:val="00BC724A"/>
    <w:rsid w:val="00BD64DF"/>
    <w:rsid w:val="00BF7127"/>
    <w:rsid w:val="00C02514"/>
    <w:rsid w:val="00C0520B"/>
    <w:rsid w:val="00C06C74"/>
    <w:rsid w:val="00C11E74"/>
    <w:rsid w:val="00C15E34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94154"/>
    <w:rsid w:val="00CA08C9"/>
    <w:rsid w:val="00CA45C6"/>
    <w:rsid w:val="00CA527C"/>
    <w:rsid w:val="00CB7E5E"/>
    <w:rsid w:val="00CD1799"/>
    <w:rsid w:val="00CD6956"/>
    <w:rsid w:val="00CD6CD6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61F20"/>
    <w:rsid w:val="00D67E4D"/>
    <w:rsid w:val="00D81A81"/>
    <w:rsid w:val="00D82010"/>
    <w:rsid w:val="00D842C5"/>
    <w:rsid w:val="00D910F2"/>
    <w:rsid w:val="00D933BD"/>
    <w:rsid w:val="00DB7A1C"/>
    <w:rsid w:val="00DC14E7"/>
    <w:rsid w:val="00DC251E"/>
    <w:rsid w:val="00DC4FCA"/>
    <w:rsid w:val="00DD05FA"/>
    <w:rsid w:val="00DD4884"/>
    <w:rsid w:val="00DE2BD2"/>
    <w:rsid w:val="00E014E4"/>
    <w:rsid w:val="00E13141"/>
    <w:rsid w:val="00E209BE"/>
    <w:rsid w:val="00E25AB4"/>
    <w:rsid w:val="00E334A5"/>
    <w:rsid w:val="00E34E6E"/>
    <w:rsid w:val="00E43033"/>
    <w:rsid w:val="00E4586B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7FC8"/>
    <w:rsid w:val="00ED0C2E"/>
    <w:rsid w:val="00ED218C"/>
    <w:rsid w:val="00EF0605"/>
    <w:rsid w:val="00EF2427"/>
    <w:rsid w:val="00EF28F7"/>
    <w:rsid w:val="00EF6B83"/>
    <w:rsid w:val="00F02BE6"/>
    <w:rsid w:val="00F02E04"/>
    <w:rsid w:val="00F237C8"/>
    <w:rsid w:val="00F244EF"/>
    <w:rsid w:val="00F33851"/>
    <w:rsid w:val="00F51E03"/>
    <w:rsid w:val="00F56C33"/>
    <w:rsid w:val="00F70E38"/>
    <w:rsid w:val="00F869F5"/>
    <w:rsid w:val="00FA1B2F"/>
    <w:rsid w:val="00FA2379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AF192"/>
  <w15:docId w15:val="{929CA1C3-C4FF-4D08-8B8B-C62919E7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2833</Words>
  <Characters>20017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22805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18</cp:revision>
  <cp:lastPrinted>2014-06-27T06:33:00Z</cp:lastPrinted>
  <dcterms:created xsi:type="dcterms:W3CDTF">2015-06-04T07:43:00Z</dcterms:created>
  <dcterms:modified xsi:type="dcterms:W3CDTF">2015-06-05T07:30:00Z</dcterms:modified>
</cp:coreProperties>
</file>