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116602" w:rsidRPr="00D54C02" w:rsidRDefault="00D54C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Индивидуальный предприниматель Богданенко Ирина Федоровна, в лице конкурсного  управляющего </w:t>
      </w:r>
      <w:proofErr w:type="spellStart"/>
      <w:r w:rsidRPr="00D54C02">
        <w:rPr>
          <w:rFonts w:ascii="Times New Roman" w:eastAsia="Times New Roman" w:hAnsi="Times New Roman" w:cs="Times New Roman"/>
          <w:sz w:val="24"/>
          <w:szCs w:val="24"/>
          <w:lang w:eastAsia="ru-RU"/>
        </w:rPr>
        <w:t>Бовкуш</w:t>
      </w:r>
      <w:proofErr w:type="spellEnd"/>
      <w:r w:rsidRPr="00D54C02">
        <w:rPr>
          <w:rFonts w:ascii="Times New Roman" w:eastAsia="Times New Roman" w:hAnsi="Times New Roman" w:cs="Times New Roman"/>
          <w:sz w:val="24"/>
          <w:szCs w:val="24"/>
          <w:lang w:eastAsia="ru-RU"/>
        </w:rPr>
        <w:t xml:space="preserve"> Ильи Владимировича, действующего на основании Решения Арбитражного суда Алтайского края  по делу А03-13191/2014 от 14.05.2015 г, именуемая в дальнейшем «Продавец», с одной стороны,</w:t>
      </w:r>
      <w:r w:rsidRPr="00D54C02">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b/>
          <w:sz w:val="24"/>
          <w:szCs w:val="24"/>
          <w:lang w:eastAsia="ru-RU"/>
        </w:rPr>
        <w:t xml:space="preserve"> и</w:t>
      </w:r>
      <w:r w:rsidR="00116602" w:rsidRPr="00D54C02">
        <w:rPr>
          <w:rFonts w:ascii="Times New Roman" w:eastAsia="Times New Roman" w:hAnsi="Times New Roman" w:cs="Times New Roman"/>
          <w:b/>
          <w:sz w:val="24"/>
          <w:szCs w:val="24"/>
          <w:lang w:eastAsia="ru-RU"/>
        </w:rPr>
        <w:t xml:space="preserve">______________________________, </w:t>
      </w:r>
      <w:r w:rsidR="00116602" w:rsidRPr="00D54C02">
        <w:rPr>
          <w:rFonts w:ascii="Times New Roman" w:eastAsia="Times New Roman" w:hAnsi="Times New Roman" w:cs="Times New Roman"/>
          <w:sz w:val="24"/>
          <w:szCs w:val="24"/>
          <w:lang w:eastAsia="ru-RU"/>
        </w:rPr>
        <w:t xml:space="preserve">в лице ______________________, действующего на основании ________________, именуемое в дальнейшем </w:t>
      </w:r>
      <w:r w:rsidR="00116602" w:rsidRPr="00D54C02">
        <w:rPr>
          <w:rFonts w:ascii="Times New Roman" w:eastAsia="Times New Roman" w:hAnsi="Times New Roman" w:cs="Times New Roman"/>
          <w:b/>
          <w:sz w:val="24"/>
          <w:szCs w:val="24"/>
          <w:lang w:eastAsia="ru-RU"/>
        </w:rPr>
        <w:t>«Покупатель»,</w:t>
      </w:r>
      <w:r w:rsidR="00116602" w:rsidRPr="00D54C02">
        <w:rPr>
          <w:rFonts w:ascii="Times New Roman" w:eastAsia="Times New Roman" w:hAnsi="Times New Roman" w:cs="Times New Roman"/>
          <w:sz w:val="24"/>
          <w:szCs w:val="24"/>
          <w:lang w:eastAsia="ru-RU"/>
        </w:rPr>
        <w:t xml:space="preserve"> с другой стороны,</w:t>
      </w:r>
      <w:r w:rsidR="00116602" w:rsidRPr="00D54C02">
        <w:rPr>
          <w:rFonts w:ascii="Times New Roman" w:eastAsia="Times New Roman" w:hAnsi="Times New Roman" w:cs="Times New Roman"/>
          <w:sz w:val="24"/>
          <w:szCs w:val="24"/>
          <w:lang w:eastAsia="ru-RU"/>
        </w:rPr>
        <w:tab/>
      </w:r>
    </w:p>
    <w:p w:rsidR="00116602" w:rsidRPr="00D54C02" w:rsidRDefault="00116602" w:rsidP="0058429A">
      <w:pPr>
        <w:spacing w:after="0" w:line="240" w:lineRule="auto"/>
        <w:ind w:firstLine="567"/>
        <w:jc w:val="both"/>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sz w:val="24"/>
          <w:szCs w:val="24"/>
          <w:lang w:eastAsia="ru-RU"/>
        </w:rPr>
        <w:t>заключили настоящее Соглашение о нижеследующем:</w:t>
      </w:r>
    </w:p>
    <w:p w:rsidR="00116602" w:rsidRPr="00D54C02" w:rsidRDefault="00116602" w:rsidP="0058429A">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r w:rsidR="00D54C02" w:rsidRPr="00D54C02">
        <w:rPr>
          <w:rFonts w:ascii="Times New Roman" w:eastAsia="Times New Roman" w:hAnsi="Times New Roman" w:cs="Times New Roman"/>
          <w:sz w:val="24"/>
          <w:szCs w:val="24"/>
          <w:lang w:eastAsia="ru-RU"/>
        </w:rPr>
        <w:t>ИП Богданенко И.Ф.</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D54C02" w:rsidRPr="00D54C02">
        <w:rPr>
          <w:rFonts w:ascii="Times New Roman" w:eastAsia="Times New Roman" w:hAnsi="Times New Roman" w:cs="Times New Roman"/>
          <w:sz w:val="24"/>
          <w:szCs w:val="24"/>
          <w:lang w:eastAsia="ru-RU"/>
        </w:rPr>
        <w:t>21.01</w:t>
      </w:r>
      <w:r w:rsidR="0058429A" w:rsidRPr="00D54C02">
        <w:rPr>
          <w:rFonts w:ascii="Times New Roman" w:eastAsia="Times New Roman" w:hAnsi="Times New Roman" w:cs="Times New Roman"/>
          <w:sz w:val="24"/>
          <w:szCs w:val="24"/>
          <w:lang w:eastAsia="ru-RU"/>
        </w:rPr>
        <w:t>.201</w:t>
      </w:r>
      <w:r w:rsidR="00D54C02" w:rsidRPr="00D54C02">
        <w:rPr>
          <w:rFonts w:ascii="Times New Roman" w:eastAsia="Times New Roman" w:hAnsi="Times New Roman" w:cs="Times New Roman"/>
          <w:sz w:val="24"/>
          <w:szCs w:val="24"/>
          <w:lang w:eastAsia="ru-RU"/>
        </w:rPr>
        <w:t>6</w:t>
      </w:r>
      <w:r w:rsidR="0058429A" w:rsidRPr="00D54C02">
        <w:rPr>
          <w:rFonts w:ascii="Times New Roman" w:eastAsia="Times New Roman" w:hAnsi="Times New Roman" w:cs="Times New Roman"/>
          <w:sz w:val="24"/>
          <w:szCs w:val="24"/>
          <w:lang w:eastAsia="ru-RU"/>
        </w:rPr>
        <w:t xml:space="preserve"> г.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w:t>
      </w:r>
      <w:bookmarkStart w:id="0" w:name="_GoBack"/>
      <w:bookmarkEnd w:id="0"/>
      <w:r w:rsidRPr="00D54C02">
        <w:rPr>
          <w:rFonts w:ascii="Times New Roman" w:eastAsia="Times New Roman" w:hAnsi="Times New Roman" w:cs="Times New Roman"/>
          <w:sz w:val="24"/>
          <w:szCs w:val="24"/>
          <w:lang w:eastAsia="ru-RU"/>
        </w:rPr>
        <w:t xml:space="preserve">от начальной продажной цены на торгах путем публичного предложения,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w:t>
      </w:r>
      <w:proofErr w:type="gramEnd"/>
      <w:r w:rsidR="0058429A" w:rsidRPr="00D54C02">
        <w:rPr>
          <w:rFonts w:ascii="Times New Roman" w:eastAsia="Times New Roman" w:hAnsi="Times New Roman" w:cs="Times New Roman"/>
          <w:sz w:val="24"/>
          <w:szCs w:val="24"/>
          <w:lang w:eastAsia="ru-RU"/>
        </w:rPr>
        <w:t xml:space="preserve">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D54C02" w:rsidRPr="00D54C02">
        <w:rPr>
          <w:rFonts w:ascii="Times New Roman" w:eastAsia="Times New Roman" w:hAnsi="Times New Roman" w:cs="Times New Roman"/>
          <w:sz w:val="24"/>
          <w:szCs w:val="24"/>
          <w:lang w:eastAsia="ru-RU"/>
        </w:rPr>
        <w:t>ИП Богданенко И.Ф.</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116602" w:rsidRPr="00D54C02" w:rsidRDefault="00116602" w:rsidP="00D54C0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Pr="00D54C02">
        <w:rPr>
          <w:rFonts w:ascii="Times New Roman" w:eastAsia="Times New Roman" w:hAnsi="Times New Roman" w:cs="Times New Roman"/>
          <w:b/>
          <w:noProof/>
          <w:sz w:val="24"/>
          <w:szCs w:val="24"/>
          <w:lang w:eastAsia="ru-RU"/>
        </w:rPr>
        <w:t>получатель:</w:t>
      </w:r>
      <w:r w:rsidRPr="00D54C02">
        <w:rPr>
          <w:rFonts w:ascii="Times New Roman" w:eastAsia="Times New Roman" w:hAnsi="Times New Roman" w:cs="Times New Roman"/>
          <w:noProof/>
          <w:sz w:val="24"/>
          <w:szCs w:val="24"/>
          <w:lang w:eastAsia="ru-RU"/>
        </w:rPr>
        <w:t xml:space="preserve"> </w:t>
      </w:r>
    </w:p>
    <w:p w:rsidR="00D54C02" w:rsidRPr="00D54C02" w:rsidRDefault="00D54C02" w:rsidP="00D54C02">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Богданенко Ирины Федоровны (ИНН 221000394242) счет 42307810802006032952 в Отделении №8644/0172 Сбербанка России г. Барнаул (ИНН: 7707083893, БИК: 040173604, </w:t>
      </w:r>
      <w:proofErr w:type="gramStart"/>
      <w:r w:rsidRPr="00D54C02">
        <w:rPr>
          <w:rFonts w:ascii="Times New Roman" w:eastAsia="Times New Roman" w:hAnsi="Times New Roman" w:cs="Times New Roman"/>
          <w:sz w:val="24"/>
          <w:szCs w:val="24"/>
          <w:lang w:eastAsia="ru-RU"/>
        </w:rPr>
        <w:t>к</w:t>
      </w:r>
      <w:proofErr w:type="gramEnd"/>
      <w:r w:rsidRPr="00D54C02">
        <w:rPr>
          <w:rFonts w:ascii="Times New Roman" w:eastAsia="Times New Roman" w:hAnsi="Times New Roman" w:cs="Times New Roman"/>
          <w:sz w:val="24"/>
          <w:szCs w:val="24"/>
          <w:lang w:eastAsia="ru-RU"/>
        </w:rPr>
        <w:t>/с 30101810200000000604). Назначение платежа: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w:t>
      </w:r>
      <w:proofErr w:type="gramStart"/>
      <w:r w:rsidRPr="00D54C02">
        <w:rPr>
          <w:rFonts w:ascii="Times New Roman" w:eastAsia="Times New Roman" w:hAnsi="Times New Roman" w:cs="Times New Roman"/>
          <w:sz w:val="24"/>
          <w:szCs w:val="24"/>
          <w:lang w:eastAsia="ru-RU"/>
        </w:rPr>
        <w:t>с даты поступления</w:t>
      </w:r>
      <w:proofErr w:type="gramEnd"/>
      <w:r w:rsidRPr="00D54C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C02" w:rsidRPr="00D54C02" w:rsidTr="00D54C02">
        <w:tc>
          <w:tcPr>
            <w:tcW w:w="4785" w:type="dxa"/>
          </w:tcPr>
          <w:p w:rsidR="00D54C02" w:rsidRPr="00D54C02" w:rsidRDefault="00D54C02" w:rsidP="00D54C02">
            <w:pPr>
              <w:rPr>
                <w:b/>
              </w:rPr>
            </w:pPr>
            <w:r w:rsidRPr="00D54C02">
              <w:rPr>
                <w:b/>
              </w:rPr>
              <w:t>Индивидуальный предприниматель Богданенко Ирина Федоровна</w:t>
            </w:r>
          </w:p>
          <w:p w:rsidR="00D54C02" w:rsidRPr="00D54C02" w:rsidRDefault="00D54C02" w:rsidP="00D54C02">
            <w:r w:rsidRPr="00D54C02">
              <w:rPr>
                <w:b/>
              </w:rPr>
              <w:t>ИНН</w:t>
            </w:r>
            <w:r w:rsidRPr="00D54C02">
              <w:t xml:space="preserve"> 221000394242</w:t>
            </w:r>
          </w:p>
          <w:p w:rsidR="00D54C02" w:rsidRPr="00D54C02" w:rsidRDefault="00D54C02" w:rsidP="00D54C02">
            <w:r w:rsidRPr="00D54C02">
              <w:rPr>
                <w:b/>
              </w:rPr>
              <w:t>Адрес:</w:t>
            </w:r>
            <w:r w:rsidRPr="00D54C02">
              <w:t xml:space="preserve"> 656038 г Барнаул, а/я 969</w:t>
            </w:r>
          </w:p>
          <w:p w:rsidR="00D54C02" w:rsidRPr="00D54C02" w:rsidRDefault="00D54C02" w:rsidP="00D54C02"/>
          <w:p w:rsidR="00D54C02" w:rsidRPr="00D54C02" w:rsidRDefault="00D54C02" w:rsidP="00D54C02">
            <w:pPr>
              <w:rPr>
                <w:b/>
              </w:rPr>
            </w:pPr>
            <w:r w:rsidRPr="00D54C02">
              <w:rPr>
                <w:b/>
              </w:rPr>
              <w:t xml:space="preserve">Конкурсный управляющий </w:t>
            </w:r>
          </w:p>
          <w:p w:rsidR="00D54C02" w:rsidRPr="00D54C02" w:rsidRDefault="00D54C02" w:rsidP="00D54C02">
            <w:pPr>
              <w:rPr>
                <w:b/>
              </w:rPr>
            </w:pPr>
            <w:r w:rsidRPr="00D54C02">
              <w:rPr>
                <w:b/>
              </w:rPr>
              <w:t>ИП Богданенко И.Ф.</w:t>
            </w:r>
          </w:p>
          <w:p w:rsidR="00D54C02" w:rsidRPr="00D54C02" w:rsidRDefault="00D54C02" w:rsidP="00D54C02"/>
          <w:p w:rsidR="00D54C02" w:rsidRPr="00D54C02" w:rsidRDefault="00D54C02" w:rsidP="00D54C02">
            <w:r w:rsidRPr="00D54C02">
              <w:t xml:space="preserve">___________________/ </w:t>
            </w:r>
            <w:r w:rsidRPr="00D54C02">
              <w:rPr>
                <w:b/>
              </w:rPr>
              <w:t xml:space="preserve">И.В. </w:t>
            </w:r>
            <w:proofErr w:type="spellStart"/>
            <w:r w:rsidRPr="00D54C02">
              <w:rPr>
                <w:b/>
              </w:rPr>
              <w:t>Бовкуш</w:t>
            </w:r>
            <w:proofErr w:type="spellEnd"/>
          </w:p>
        </w:tc>
        <w:tc>
          <w:tcPr>
            <w:tcW w:w="4786" w:type="dxa"/>
          </w:tcPr>
          <w:p w:rsidR="00D54C02" w:rsidRPr="00D54C02" w:rsidRDefault="00D54C02" w:rsidP="00D54C02"/>
        </w:tc>
      </w:tr>
    </w:tbl>
    <w:p w:rsidR="00153071" w:rsidRDefault="003017EC"/>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F" w:rsidRDefault="00B14F49">
      <w:pPr>
        <w:spacing w:after="0" w:line="240" w:lineRule="auto"/>
      </w:pPr>
      <w:r>
        <w:separator/>
      </w:r>
    </w:p>
  </w:endnote>
  <w:endnote w:type="continuationSeparator" w:id="0">
    <w:p w:rsidR="00E247CF" w:rsidRDefault="00B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3017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17EC">
      <w:rPr>
        <w:rStyle w:val="a5"/>
        <w:noProof/>
      </w:rPr>
      <w:t>1</w:t>
    </w:r>
    <w:r>
      <w:rPr>
        <w:rStyle w:val="a5"/>
      </w:rPr>
      <w:fldChar w:fldCharType="end"/>
    </w:r>
  </w:p>
  <w:p w:rsidR="00EA17E0" w:rsidRDefault="003017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F" w:rsidRDefault="00B14F49">
      <w:pPr>
        <w:spacing w:after="0" w:line="240" w:lineRule="auto"/>
      </w:pPr>
      <w:r>
        <w:separator/>
      </w:r>
    </w:p>
  </w:footnote>
  <w:footnote w:type="continuationSeparator" w:id="0">
    <w:p w:rsidR="00E247CF" w:rsidRDefault="00B14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3017EC"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17EC">
      <w:rPr>
        <w:rStyle w:val="a5"/>
        <w:noProof/>
      </w:rPr>
      <w:t>1</w:t>
    </w:r>
    <w:r>
      <w:rPr>
        <w:rStyle w:val="a5"/>
      </w:rPr>
      <w:fldChar w:fldCharType="end"/>
    </w:r>
  </w:p>
  <w:p w:rsidR="00EA17E0" w:rsidRDefault="003017EC"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3017EC"/>
    <w:rsid w:val="0058429A"/>
    <w:rsid w:val="00865C82"/>
    <w:rsid w:val="009C7DCD"/>
    <w:rsid w:val="00B14F49"/>
    <w:rsid w:val="00D54C02"/>
    <w:rsid w:val="00E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2016-05-07T16:04:00Z</dcterms:created>
  <dcterms:modified xsi:type="dcterms:W3CDTF">2016-05-07T16:04:00Z</dcterms:modified>
</cp:coreProperties>
</file>