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352A1">
        <w:rPr>
          <w:sz w:val="28"/>
          <w:szCs w:val="28"/>
        </w:rPr>
        <w:t>44659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352A1">
        <w:rPr>
          <w:rFonts w:ascii="Times New Roman" w:hAnsi="Times New Roman" w:cs="Times New Roman"/>
          <w:sz w:val="28"/>
          <w:szCs w:val="28"/>
        </w:rPr>
        <w:t>27.07.2016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983B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983B9E" w:rsidRDefault="000352A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83B9E">
              <w:rPr>
                <w:sz w:val="28"/>
                <w:szCs w:val="28"/>
              </w:rPr>
              <w:t>Рахманов Сергей Борисович</w:t>
            </w:r>
            <w:r w:rsidR="00D342DA" w:rsidRPr="00983B9E">
              <w:rPr>
                <w:sz w:val="28"/>
                <w:szCs w:val="28"/>
              </w:rPr>
              <w:t xml:space="preserve">, </w:t>
            </w:r>
          </w:p>
          <w:p w:rsidR="00D342DA" w:rsidRPr="00983B9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83B9E">
              <w:rPr>
                <w:sz w:val="28"/>
                <w:szCs w:val="28"/>
              </w:rPr>
              <w:t xml:space="preserve">, ОГРН , ИНН </w:t>
            </w:r>
            <w:r w:rsidR="000352A1" w:rsidRPr="00983B9E">
              <w:rPr>
                <w:sz w:val="28"/>
                <w:szCs w:val="28"/>
              </w:rPr>
              <w:t>744700567728</w:t>
            </w:r>
            <w:r w:rsidRPr="00983B9E">
              <w:rPr>
                <w:sz w:val="28"/>
                <w:szCs w:val="28"/>
              </w:rPr>
              <w:t>.</w:t>
            </w:r>
          </w:p>
          <w:p w:rsidR="00D342DA" w:rsidRPr="00983B9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83B9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</w:t>
            </w: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арбитражного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352A1" w:rsidRPr="00983B9E" w:rsidRDefault="000352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Людмила Николаевна</w:t>
            </w:r>
          </w:p>
          <w:p w:rsidR="00D342DA" w:rsidRPr="00983B9E" w:rsidRDefault="000352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ААУ "Евросиб" (Ассоциация "Евросибирская саморегулируемая организация арбитражных управляющих")</w:t>
            </w:r>
          </w:p>
        </w:tc>
      </w:tr>
      <w:tr w:rsidR="00D342DA" w:rsidRPr="00983B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83B9E" w:rsidRDefault="000352A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83B9E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983B9E">
              <w:rPr>
                <w:sz w:val="28"/>
                <w:szCs w:val="28"/>
              </w:rPr>
              <w:t xml:space="preserve">, дело о банкротстве </w:t>
            </w:r>
            <w:r w:rsidRPr="00983B9E">
              <w:rPr>
                <w:sz w:val="28"/>
                <w:szCs w:val="28"/>
              </w:rPr>
              <w:t>А76-4946/2016</w:t>
            </w:r>
          </w:p>
        </w:tc>
      </w:tr>
      <w:tr w:rsidR="00D342DA" w:rsidRPr="00983B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83B9E" w:rsidRDefault="000352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АС Челябинской области</w:t>
            </w:r>
            <w:r w:rsidR="00D342DA"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13.05.2016</w:t>
            </w:r>
            <w:r w:rsidR="00D342DA"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0352A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 № 2 (арматурный цех), общей площадью 153,4 кв.м., кадастровый (или условный номер) 74:36:0701008:173, нежилое помещение № 3 (арматурный цех) общей площадью 2194 кв.м., кадастровый (или условный номер) 74:36:0701008:170, земельный участок общей площадью 6 036 кв.м., кадастровый (или условный номер) 74:36:0701008:105, расположенные по адресу: г. Челябинск, ул. 2-я Шагольская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52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352A1">
              <w:rPr>
                <w:sz w:val="28"/>
                <w:szCs w:val="28"/>
              </w:rPr>
              <w:t>20.06.2016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352A1">
              <w:rPr>
                <w:sz w:val="28"/>
                <w:szCs w:val="28"/>
              </w:rPr>
              <w:t>22.07.2016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52A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документа,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сведения о наличии или об отсутствии заинтересованности по отношению к должнику, кредиторам, арбитражному управляющему, СРО.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должны прилагаться следующие документы: выписка из ЕГРЮЛ (для юр. лица), выписка из ЕГРИП (для индивидуального предпринимателя) действительная на день представления заявки, копии документов, удостоверяющих личность (для физического лица); документ, подтверждающий полномочия лица на </w:t>
            </w:r>
            <w:r>
              <w:rPr>
                <w:bCs/>
                <w:sz w:val="28"/>
                <w:szCs w:val="28"/>
              </w:rPr>
              <w:lastRenderedPageBreak/>
              <w:t>осуществление действий от имени заявителя, копию решения об одобрении или о совершении крупной сделки, если требование о необходимости установлено законодательством РФ.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Документы, прилагаемые к заявке, представляются в форме электронных документов, подписанных электронной цифровой подписью заявителя. Для участия в торгах необходимо в указанный ниже срок приема заявок подать заявку, заключить договор о задатке, внести соответствующую сумму задатка на расчетный счет организации-должника.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83B9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352A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352A1" w:rsidRDefault="000352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1 061 777.60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83B9E" w:rsidRDefault="000352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Внесение задатка производиться на р/с ИП Рахманов Сергей Борисович до 22.07.2016 г. Задаток засчитывается Победителю в счет оплаты приобретаемого Имущества. Задаток возвращается в течение пяти рабочих дней: - при отказе Заявителю в участии в Торгах; - непризнания участника торгов Победителем торгов; - в случае отзыва Заявителем заявки на участие в торгах до момента приобретения им статуса участника торгов; - в случае признания торгов </w:t>
            </w:r>
            <w:proofErr w:type="gramStart"/>
            <w:r w:rsidRPr="0098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несостоявшимися</w:t>
            </w:r>
            <w:proofErr w:type="gramEnd"/>
            <w:r w:rsidRPr="0098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 - в случае отмены торгов по продаже имущества. Задаток не возвращается при отказе или уклонении Победителя торгов от подписания: - Протокола о ходе и результатах торгов; - договора купли-продажи; - неоплаты имущества в установленный договором купли-продажи срок.</w:t>
            </w:r>
            <w:r w:rsidR="00D342DA" w:rsidRPr="00983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83B9E" w:rsidRDefault="000352A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83B9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 ИП Рахманов Сергей Борисович, ИНН 744700567728, КПП 0, </w:t>
            </w:r>
            <w:proofErr w:type="gramStart"/>
            <w:r w:rsidRPr="00983B9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983B9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 40802810909280003178 в Филиале банка ВТБ (ПАО) в г. Екатеринбурге, к/с 30101810400000000952, БИК 046577952.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352A1" w:rsidRDefault="000352A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10 617 776.00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352A1" w:rsidRDefault="000352A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530 888.80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83B9E" w:rsidRDefault="000352A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максимальную цену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52A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и подведение их результатов состоятся 27.07.2016 года в 12.00 час</w:t>
            </w:r>
            <w:proofErr w:type="gramStart"/>
            <w:r>
              <w:rPr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>ремя мск) на электронной площадке ОАО «Российский аукционный дом», размещенной в сети «Интернет» по адресу: http://lot-online.ru.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352A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максимальную цену имущества. Решение об определении победителя торгов принимается в день подведения результатов торгов (в день проведения торгов). По итогам торгов составляется протокол и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его подписания, конкурсный управляющий направляет победителю торгов предложение заключить договор купли-продажи. Покупатель производит оплату в течение 30 рабочих дней после подписания договора купли-продажи, путем перечисления соответствующей суммы за вычетом задатка на расчетный счет организации - должника. Реквизиты для перечисления: Получатель  ИП Рахманов Сергей Борисович, ИНН 744700567728, КПП 0,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 40802810909280003178 в Филиале банка ВТБ (ПАО) в г. Екатеринбурге, к/с 30101810400000000952, БИК 046577952.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83B9E" w:rsidRDefault="000352A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Покупатель производит оплату в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течение 30 рабочих дней после подписания договора купли-продажи, путем перечисления соответствующей суммы за вычетом задатка на расчетный счет организации - должника. Реквизиты для перечисления: Получатель  ИП Рахманов Сергей Борисович, ИНН 744700567728, КПП 0,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 40802810909280003178 в Филиале банка ВТБ (ПАО) в г. Екатеринбурге, к/с 30101810400000000952, БИК 046577952.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352A1"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Людмила Николаевна</w:t>
            </w: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52A1"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744700376353</w:t>
            </w: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352A1" w:rsidRPr="00983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454138, г. Челябинск, ул. </w:t>
            </w:r>
            <w:r w:rsidR="000352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Пионерская, д. 7 в, кв. 33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352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(351)216-05-31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0352A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Zimina747@gmail.com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352A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18.06.2016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352A1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3B9E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8418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508u3</cp:lastModifiedBy>
  <cp:revision>2</cp:revision>
  <cp:lastPrinted>2010-11-10T11:05:00Z</cp:lastPrinted>
  <dcterms:created xsi:type="dcterms:W3CDTF">2016-06-17T08:17:00Z</dcterms:created>
  <dcterms:modified xsi:type="dcterms:W3CDTF">2016-06-17T08:17:00Z</dcterms:modified>
</cp:coreProperties>
</file>