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30" w:rsidRDefault="00E24B67">
      <w:r w:rsidRPr="00E24B67">
        <w:t xml:space="preserve">Лот № 2: </w:t>
      </w:r>
      <w:proofErr w:type="gramStart"/>
      <w:r w:rsidRPr="00E24B67">
        <w:t xml:space="preserve">Здание главного корпуса сборочного цеха и здание переход  из АБК в сборочный цех, 2-этажный, общей площадью 2 811,2 кв.м.; Здание </w:t>
      </w:r>
      <w:proofErr w:type="spellStart"/>
      <w:r w:rsidRPr="00E24B67">
        <w:t>разборо-моечного</w:t>
      </w:r>
      <w:proofErr w:type="spellEnd"/>
      <w:r w:rsidRPr="00E24B67">
        <w:t xml:space="preserve"> отделения, 1-этажный, общей площадью 1 065,1 кв.м.; Здание склада лакокрасочных материалов, 1-этажный, общей площадью 55,6 кв.м.; Здание производственно-отопительной котельной со станцией перекачки конденсата с 2-мя котлами, 2-этажный, общей площадью 685,3 кв.м.; Здание склада оборудования, 1-этажный</w:t>
      </w:r>
      <w:proofErr w:type="gramEnd"/>
      <w:r w:rsidRPr="00E24B67">
        <w:t xml:space="preserve">, </w:t>
      </w:r>
      <w:proofErr w:type="gramStart"/>
      <w:r w:rsidRPr="00E24B67">
        <w:t>общей площадью  1 603,1 кв.м.; Здание цеха для ремонта бульдозерных установок, 1-этажный, общей площадью 338,7 кв.м.; Незавершенное строительством здание материального склада, 1-этажный, общей площадью 355,8 кв.м.; Здание проходного пункта, 2-этажный, общей площадью 247,4 кв.м.; Здание административно-бытового корпуса, 4-этажный, общей площадью 1 520 кв.м.; Земельный участок, категория земель: земли населенных пунктов, разрешенное использование: для использования под</w:t>
      </w:r>
      <w:proofErr w:type="gramEnd"/>
      <w:r w:rsidRPr="00E24B67">
        <w:t xml:space="preserve"> </w:t>
      </w:r>
      <w:proofErr w:type="spellStart"/>
      <w:r w:rsidRPr="00E24B67">
        <w:t>промзону</w:t>
      </w:r>
      <w:proofErr w:type="spellEnd"/>
      <w:r w:rsidRPr="00E24B67">
        <w:t xml:space="preserve">, общей площадью 33973 кв.м., кадастровый (условный) номер: 35:26:0201005:44; </w:t>
      </w:r>
      <w:proofErr w:type="gramStart"/>
      <w:r w:rsidRPr="00E24B67">
        <w:t>расположенные</w:t>
      </w:r>
      <w:proofErr w:type="gramEnd"/>
      <w:r w:rsidRPr="00E24B67">
        <w:t xml:space="preserve"> по адресу: Вологодская область, </w:t>
      </w:r>
      <w:proofErr w:type="gramStart"/>
      <w:r w:rsidRPr="00E24B67">
        <w:t>г</w:t>
      </w:r>
      <w:proofErr w:type="gramEnd"/>
      <w:r w:rsidRPr="00E24B67">
        <w:t xml:space="preserve">. Сокол, ул. 1-я </w:t>
      </w:r>
      <w:proofErr w:type="spellStart"/>
      <w:r w:rsidRPr="00E24B67">
        <w:t>Глушицкая</w:t>
      </w:r>
      <w:proofErr w:type="spellEnd"/>
      <w:r w:rsidRPr="00E24B67">
        <w:t>, д. 5. Начальная цена -  32 044 742,54 руб. Шаг аукциона -  1 602 237,13 руб. Задаток – 3 204 474,26 руб.</w:t>
      </w:r>
    </w:p>
    <w:sectPr w:rsidR="002D5330" w:rsidSect="002D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B67"/>
    <w:rsid w:val="00161047"/>
    <w:rsid w:val="001C019D"/>
    <w:rsid w:val="001D44AB"/>
    <w:rsid w:val="002D5330"/>
    <w:rsid w:val="003068CC"/>
    <w:rsid w:val="003D57FF"/>
    <w:rsid w:val="0048430C"/>
    <w:rsid w:val="00512497"/>
    <w:rsid w:val="00541A20"/>
    <w:rsid w:val="00573ABE"/>
    <w:rsid w:val="00603C75"/>
    <w:rsid w:val="006305AA"/>
    <w:rsid w:val="008069FA"/>
    <w:rsid w:val="00954201"/>
    <w:rsid w:val="00A43CB2"/>
    <w:rsid w:val="00AC5A96"/>
    <w:rsid w:val="00B54899"/>
    <w:rsid w:val="00B918C3"/>
    <w:rsid w:val="00BD7AE1"/>
    <w:rsid w:val="00C258DB"/>
    <w:rsid w:val="00CD26A6"/>
    <w:rsid w:val="00CE463B"/>
    <w:rsid w:val="00D23FE9"/>
    <w:rsid w:val="00DF7296"/>
    <w:rsid w:val="00E24B67"/>
    <w:rsid w:val="00EB20F5"/>
    <w:rsid w:val="00F8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Krokoz™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2016-07-13T09:40:00Z</dcterms:created>
  <dcterms:modified xsi:type="dcterms:W3CDTF">2016-07-13T09:41:00Z</dcterms:modified>
</cp:coreProperties>
</file>