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50" w:rsidRDefault="00902D50" w:rsidP="00902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902D50" w:rsidRDefault="00902D50" w:rsidP="00902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о задатке (далее -"Договор") заключен "___"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в г.Нижний Новгород между __________________________________________________________(далее -"Претендент"), в лице _________________________________________________________________________, действующего на основании ____________________________________________________, с одной стороны и конкурсным управляющим ООО "Бекон"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Еленой  Васильевной, действующей на основании Определения Арбитражного суда Нижегородской области от 04.08.2015г. по делу №43-7915/2008 ,(далее - "Организатор Аукциона") с другой стороны.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внимание, что: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Порядком и условиями проведения открытых торгов в электронной форме по продаже имущества ООО "Бекон" в ходе конкурсного производства, утвержденным собранием кредиторов, залоговыми кредиторами ООО "ТД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" и КБ "РОСПРОМБАНК" (ООО), Организатор Аукциона опубликовал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30.07.2016г.  Информационное сообщение о проведении электронных торгов в форме аукциона  с открытой формой подачи предложений по продаже имущества ООО "Бекон", которым в установленном порядке уведомил всех заинтересованных лиц о проведении аукциона (далее -"Аукцион");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2.Претендент ознакомлен с Порядком, сроками и условиями проведения Аукциона;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участия в Аукционе Претендент обязан внести задаток, в порядке и на условиях, изложенных в информационном сообщении.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4.Оператор электронной площадки, которому Организатор торгов направил заявку на проведение Аукциона, обязан разместить настоящий Договор о задатке на Электронной площадке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Министерства экономического развития РФ от 15 февраля 2010г. №54. 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заключили настоящий договор о нижеследующем: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  Претендент с целью участия в Аукционе вносит на счет Организатора Аукциона, указанный в Информационном сообщении и настоящем Договоре, Задаток в размере 10 % стоимости соответствующего лота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(далее – «Задаток»), указанный в Информационном сообщении.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Задаток вносится в целях обеспечения исполнения Претендентом обязательств по оплате  Лота, в случае признания его Победителем Аукциона.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 Для участия в Аукционе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Порядок Оплаты Задатка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  Задаток по лотам №1,2 должен быть внесен единой суммой на счет: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получатель: ООО «Бекон», ИНН/ КПП 5249043717/ 524901001, счет получателя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№40702810638000087081 в ПАО Сбербанк России БИК 044525225 к/с 30101810400000000225, задаток по лоту №3 - на счет: </w:t>
      </w:r>
      <w:r w:rsidRPr="00902D50">
        <w:rPr>
          <w:rFonts w:ascii="Times New Roman" w:hAnsi="Times New Roman" w:cs="Times New Roman"/>
          <w:sz w:val="24"/>
          <w:szCs w:val="24"/>
        </w:rPr>
        <w:t xml:space="preserve">ООО «Бекон», ИНН/КПП 5249043717/524901001, </w:t>
      </w:r>
      <w:proofErr w:type="spellStart"/>
      <w:r w:rsidRPr="00902D5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02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2D5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02D50">
        <w:rPr>
          <w:rFonts w:ascii="Times New Roman" w:hAnsi="Times New Roman" w:cs="Times New Roman"/>
          <w:sz w:val="24"/>
          <w:szCs w:val="24"/>
        </w:rPr>
        <w:t xml:space="preserve"> 40702810600170004733 в КД "РОСПРОМБАНК" (ООО) БИК 044525120 к/с 30101810245250000120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>
        <w:rPr>
          <w:rFonts w:ascii="Times New Roman" w:hAnsi="Times New Roman" w:cs="Times New Roman"/>
          <w:sz w:val="24"/>
          <w:szCs w:val="24"/>
        </w:rPr>
        <w:t>позднее даты окончания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="00641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</w:t>
      </w:r>
      <w:r>
        <w:rPr>
          <w:rFonts w:ascii="Times New Roman" w:hAnsi="Times New Roman" w:cs="Times New Roman"/>
          <w:sz w:val="24"/>
          <w:szCs w:val="24"/>
        </w:rPr>
        <w:t>задаток для участия в электронных торгах по продаже имущества ООО "Бекон" по лоту №</w:t>
      </w:r>
      <w:r w:rsidR="00641A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, НДС не облагается».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что в случае если сумма Задатка не поступит в полном объеме на счет </w:t>
      </w:r>
      <w:r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не вправе требовать от </w:t>
      </w:r>
      <w:r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="00641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перечисления суммы Задатка на какой-либо иной банковский счет.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   На сумму Задатка, внесенного Претендентом в соответствии с настоящим Договором, проценты не начисляются.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Условия и Порядок Распоряжения Суммой Задатка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(Пяти) дней со дня поступления Организатору Аукциона уведомления об отзыве Заявки.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если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указанный в настоящем Договоре, в течение 5 (Пяти) дней с даты подведения итогов Аукциона.</w:t>
      </w:r>
    </w:p>
    <w:p w:rsidR="00902D50" w:rsidRDefault="00902D50" w:rsidP="00902D50">
      <w:pPr>
        <w:pStyle w:val="a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случае если Претендент не признан победителем Аукциона, Организатор Аукциона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В случае если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В случае признания Аукциона несостоявшимся Организатор Аукциона возвращает Претенденту сумму Задатка в течение 5 (Пяти) дней с даты подведения итогов Аукциона.</w:t>
      </w:r>
    </w:p>
    <w:p w:rsidR="00902D50" w:rsidRDefault="00902D50" w:rsidP="00902D5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Разное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902D50" w:rsidRDefault="00902D50" w:rsidP="00902D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    Настоящий Договор регулируется законодательством Российской Федерации.</w:t>
      </w:r>
    </w:p>
    <w:p w:rsidR="00902D50" w:rsidRDefault="00902D50" w:rsidP="0090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  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>
        <w:rPr>
          <w:rFonts w:ascii="Times New Roman" w:hAnsi="Times New Roman" w:cs="Times New Roman"/>
          <w:sz w:val="24"/>
          <w:szCs w:val="24"/>
        </w:rPr>
        <w:t>Арбитражный суд Московской области.</w:t>
      </w:r>
    </w:p>
    <w:p w:rsidR="00902D50" w:rsidRDefault="00902D50" w:rsidP="00902D5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tbl>
      <w:tblPr>
        <w:tblW w:w="9402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4"/>
        <w:gridCol w:w="4708"/>
      </w:tblGrid>
      <w:tr w:rsidR="00902D50" w:rsidTr="00641AB9">
        <w:trPr>
          <w:trHeight w:val="517"/>
        </w:trPr>
        <w:tc>
          <w:tcPr>
            <w:tcW w:w="4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D50" w:rsidRDefault="00902D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2D50" w:rsidRDefault="00902D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</w:p>
        </w:tc>
        <w:tc>
          <w:tcPr>
            <w:tcW w:w="4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02D50" w:rsidRDefault="00902D5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 Аукциона:</w:t>
            </w:r>
          </w:p>
          <w:p w:rsidR="00902D50" w:rsidRDefault="00902D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Конкурсный управляющий  </w:t>
            </w:r>
          </w:p>
          <w:p w:rsidR="00902D50" w:rsidRDefault="00902D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Васильевна</w:t>
            </w:r>
          </w:p>
          <w:p w:rsidR="00902D50" w:rsidRDefault="00902D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 421203478609</w:t>
            </w:r>
          </w:p>
          <w:p w:rsidR="00902D50" w:rsidRDefault="00902D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467, г"/>
              </w:smartTagPr>
              <w:r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121467, г</w:t>
              </w:r>
            </w:smartTag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.Москва, а/я 72</w:t>
            </w:r>
          </w:p>
          <w:p w:rsidR="00902D50" w:rsidRDefault="00902D50" w:rsidP="002E043E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</w:t>
            </w:r>
          </w:p>
          <w:p w:rsidR="00902D50" w:rsidRDefault="00902D50" w:rsidP="002E043E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2D50" w:rsidRDefault="00902D50" w:rsidP="00902D50">
      <w:pPr>
        <w:jc w:val="both"/>
      </w:pPr>
    </w:p>
    <w:p w:rsidR="00902D50" w:rsidRDefault="00902D50" w:rsidP="00902D50"/>
    <w:p w:rsidR="00902D50" w:rsidRDefault="00902D50" w:rsidP="00902D50"/>
    <w:p w:rsidR="00000000" w:rsidRDefault="00641A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CC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5B1AB0"/>
    <w:multiLevelType w:val="multilevel"/>
    <w:tmpl w:val="9F74976C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2D50"/>
    <w:rsid w:val="00641AB9"/>
    <w:rsid w:val="0090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0"/>
    <w:link w:val="10"/>
    <w:qFormat/>
    <w:rsid w:val="00902D50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eastAsia="Arial Unicode MS" w:hAnsi="Cambria" w:cs="Times New Roman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2D50"/>
    <w:rPr>
      <w:rFonts w:ascii="Cambria" w:eastAsia="Arial Unicode MS" w:hAnsi="Cambria" w:cs="Times New Roman"/>
      <w:b/>
      <w:bCs/>
      <w:kern w:val="2"/>
      <w:sz w:val="32"/>
      <w:szCs w:val="32"/>
      <w:lang w:eastAsia="ar-SA"/>
    </w:rPr>
  </w:style>
  <w:style w:type="paragraph" w:styleId="a0">
    <w:name w:val="Body Text"/>
    <w:link w:val="a4"/>
    <w:semiHidden/>
    <w:unhideWhenUsed/>
    <w:rsid w:val="00902D50"/>
    <w:pPr>
      <w:widowControl w:val="0"/>
      <w:suppressAutoHyphens/>
      <w:spacing w:after="120"/>
    </w:pPr>
    <w:rPr>
      <w:rFonts w:ascii="Calibri" w:eastAsia="Arial Unicode MS" w:hAnsi="Calibri" w:cs="font187"/>
      <w:kern w:val="2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902D50"/>
    <w:rPr>
      <w:rFonts w:ascii="Calibri" w:eastAsia="Arial Unicode MS" w:hAnsi="Calibri" w:cs="font187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6295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3</cp:revision>
  <dcterms:created xsi:type="dcterms:W3CDTF">2016-08-01T11:10:00Z</dcterms:created>
  <dcterms:modified xsi:type="dcterms:W3CDTF">2016-08-01T11:18:00Z</dcterms:modified>
</cp:coreProperties>
</file>