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08" w:rsidRDefault="00E11108" w:rsidP="00E11108">
      <w:pPr>
        <w:pStyle w:val="2"/>
        <w:ind w:left="-900" w:right="-285"/>
        <w:jc w:val="center"/>
        <w:rPr>
          <w:b/>
          <w:bCs/>
          <w:sz w:val="22"/>
          <w:szCs w:val="22"/>
        </w:rPr>
      </w:pPr>
    </w:p>
    <w:p w:rsidR="00E11108" w:rsidRDefault="00E11108" w:rsidP="00E11108">
      <w:pPr>
        <w:pStyle w:val="2"/>
        <w:ind w:left="-900" w:right="-285"/>
        <w:jc w:val="center"/>
        <w:rPr>
          <w:b/>
          <w:bCs/>
          <w:sz w:val="22"/>
          <w:szCs w:val="22"/>
        </w:rPr>
      </w:pPr>
    </w:p>
    <w:p w:rsidR="00E11108" w:rsidRDefault="00E11108" w:rsidP="00E11108">
      <w:pPr>
        <w:pStyle w:val="2"/>
        <w:ind w:right="-28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 КУПЛИ-ПРОДАЖИ № ______</w:t>
      </w:r>
    </w:p>
    <w:p w:rsidR="00E11108" w:rsidRDefault="00E11108" w:rsidP="00E11108">
      <w:pPr>
        <w:pStyle w:val="2"/>
        <w:jc w:val="center"/>
        <w:rPr>
          <w:b/>
          <w:bCs/>
          <w:sz w:val="22"/>
          <w:szCs w:val="22"/>
        </w:rPr>
      </w:pPr>
    </w:p>
    <w:p w:rsidR="00E11108" w:rsidRDefault="00E11108" w:rsidP="00E11108">
      <w:pPr>
        <w:pStyle w:val="2"/>
        <w:ind w:left="-720" w:firstLine="720"/>
      </w:pPr>
      <w:r>
        <w:rPr>
          <w:b/>
          <w:sz w:val="22"/>
          <w:szCs w:val="22"/>
        </w:rPr>
        <w:t>Воронежская область, г. Бутурлиновка                                 «____» _____________ 2017г.</w:t>
      </w:r>
    </w:p>
    <w:p w:rsidR="00E11108" w:rsidRDefault="00E11108" w:rsidP="00E11108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E11108" w:rsidRDefault="00E11108" w:rsidP="00E11108">
      <w:pPr>
        <w:pStyle w:val="Standard"/>
        <w:ind w:left="360"/>
        <w:jc w:val="both"/>
      </w:pPr>
      <w:r>
        <w:rPr>
          <w:sz w:val="22"/>
          <w:szCs w:val="22"/>
        </w:rPr>
        <w:t xml:space="preserve">Общество с ограниченной ответственностью «Спиртзавод «ПИРАКВА» 397500, Воронежская область, г. Бутурлиновка, ул.Розы Люксембург, 83а, ИНН 3605005345, ОГРН 1023600645353, именуемое в дальнейшем </w:t>
      </w:r>
      <w:r>
        <w:rPr>
          <w:b/>
          <w:bCs/>
          <w:sz w:val="22"/>
          <w:szCs w:val="22"/>
        </w:rPr>
        <w:t>«Продавец»</w:t>
      </w:r>
      <w:r>
        <w:rPr>
          <w:sz w:val="22"/>
          <w:szCs w:val="22"/>
        </w:rPr>
        <w:t xml:space="preserve">, в лице конкурсного управляющего Горшкова Павла Павловича, действующего на основании </w:t>
      </w:r>
      <w:r>
        <w:rPr>
          <w:color w:val="000000"/>
          <w:spacing w:val="5"/>
          <w:sz w:val="22"/>
          <w:szCs w:val="22"/>
        </w:rPr>
        <w:t xml:space="preserve">решения Арбитражного суда Воронежской области от 22.12.2011г. по делу № А14-5768/2010 и определения арбитражного суда Воронежской области от 17.11.2016г.  по делу № А14-5768/2010, </w:t>
      </w:r>
      <w:r>
        <w:rPr>
          <w:sz w:val="22"/>
          <w:szCs w:val="22"/>
        </w:rPr>
        <w:t>с одной стороны, и</w:t>
      </w:r>
    </w:p>
    <w:p w:rsidR="00E11108" w:rsidRDefault="00E11108" w:rsidP="00E11108">
      <w:pPr>
        <w:pStyle w:val="Standard"/>
        <w:ind w:left="360"/>
        <w:jc w:val="both"/>
      </w:pPr>
      <w:r>
        <w:rPr>
          <w:b/>
          <w:sz w:val="22"/>
          <w:szCs w:val="22"/>
        </w:rPr>
        <w:t xml:space="preserve">__________________________________________________ 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>«Покупатель»</w:t>
      </w:r>
      <w:r>
        <w:rPr>
          <w:bCs/>
          <w:sz w:val="22"/>
          <w:szCs w:val="22"/>
        </w:rPr>
        <w:t xml:space="preserve">, с другой стороны, по отдельности и совместно именуемые соответственно </w:t>
      </w:r>
      <w:r>
        <w:rPr>
          <w:b/>
          <w:bCs/>
          <w:sz w:val="22"/>
          <w:szCs w:val="22"/>
        </w:rPr>
        <w:t>«Сторона» и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«Стороны»,</w:t>
      </w:r>
      <w:r>
        <w:rPr>
          <w:bCs/>
          <w:sz w:val="22"/>
          <w:szCs w:val="22"/>
        </w:rPr>
        <w:t xml:space="preserve">  заключили настоящий Договор о нижеследующем:</w:t>
      </w:r>
    </w:p>
    <w:p w:rsidR="00E11108" w:rsidRDefault="00E11108" w:rsidP="00E11108">
      <w:pPr>
        <w:pStyle w:val="2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</w:t>
      </w:r>
    </w:p>
    <w:p w:rsidR="00E11108" w:rsidRDefault="00E11108" w:rsidP="00E11108">
      <w:pPr>
        <w:pStyle w:val="2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1.Предмет договора</w:t>
      </w:r>
    </w:p>
    <w:p w:rsidR="00E11108" w:rsidRDefault="00E11108" w:rsidP="00E11108">
      <w:pPr>
        <w:pStyle w:val="2"/>
        <w:ind w:left="360"/>
        <w:rPr>
          <w:b/>
          <w:bCs/>
          <w:sz w:val="22"/>
          <w:szCs w:val="22"/>
        </w:rPr>
      </w:pPr>
    </w:p>
    <w:p w:rsidR="00E11108" w:rsidRDefault="00E11108" w:rsidP="00E11108">
      <w:pPr>
        <w:pStyle w:val="Standard"/>
        <w:ind w:left="284"/>
        <w:jc w:val="both"/>
      </w:pPr>
      <w:r>
        <w:rPr>
          <w:sz w:val="22"/>
          <w:szCs w:val="22"/>
        </w:rPr>
        <w:t xml:space="preserve">1.1.В соответствии с настоящим Договором, и Протоколом о результатах открытых торгов в электронной форме от «___» ________2014г. Продавец обязуется передать в собственность Покупателя </w:t>
      </w:r>
      <w:r>
        <w:rPr>
          <w:b/>
          <w:iCs/>
          <w:sz w:val="22"/>
          <w:szCs w:val="22"/>
        </w:rPr>
        <w:t>Лот № ____ . в состав которого входит следующее имущество:</w:t>
      </w:r>
    </w:p>
    <w:p w:rsidR="00E11108" w:rsidRDefault="00E11108" w:rsidP="00E11108">
      <w:pPr>
        <w:pStyle w:val="Standard"/>
        <w:ind w:left="284"/>
        <w:jc w:val="both"/>
        <w:rPr>
          <w:sz w:val="22"/>
          <w:szCs w:val="22"/>
        </w:rPr>
      </w:pPr>
    </w:p>
    <w:p w:rsidR="00E11108" w:rsidRDefault="00E11108" w:rsidP="00E11108">
      <w:pPr>
        <w:pStyle w:val="Standard"/>
        <w:ind w:left="284"/>
        <w:jc w:val="both"/>
        <w:rPr>
          <w:sz w:val="22"/>
          <w:szCs w:val="22"/>
        </w:rPr>
      </w:pPr>
    </w:p>
    <w:p w:rsidR="00E11108" w:rsidRDefault="00E11108" w:rsidP="00E11108">
      <w:pPr>
        <w:pStyle w:val="Standard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(далее по тексту настоящего Договора - «Имущество»), а Покупатель обязуется принять Имущество и уплатить за него покупную цену, указанную в настоящем договоре.</w:t>
      </w:r>
    </w:p>
    <w:p w:rsidR="00E11108" w:rsidRDefault="00E11108" w:rsidP="00E11108">
      <w:pPr>
        <w:pStyle w:val="Standard"/>
        <w:ind w:left="360"/>
        <w:jc w:val="both"/>
      </w:pPr>
      <w:r>
        <w:rPr>
          <w:sz w:val="22"/>
          <w:szCs w:val="22"/>
        </w:rPr>
        <w:t xml:space="preserve">1.2.Продавец информировал Покупателя, что реализуемое Имущество принадлежит Продавцу на праве собственности, под арестом не состоит, </w:t>
      </w:r>
      <w:r>
        <w:rPr>
          <w:sz w:val="22"/>
          <w:szCs w:val="22"/>
          <w:u w:val="single"/>
        </w:rPr>
        <w:t>обременено залогом</w:t>
      </w:r>
      <w:r>
        <w:rPr>
          <w:sz w:val="22"/>
          <w:szCs w:val="22"/>
        </w:rPr>
        <w:t>, не является объектом договора аренды, финансовой аренды, заключенным с третьим лицом.</w:t>
      </w:r>
    </w:p>
    <w:p w:rsidR="00E11108" w:rsidRDefault="00E11108" w:rsidP="00E11108">
      <w:pPr>
        <w:pStyle w:val="Standard"/>
        <w:ind w:left="284"/>
        <w:jc w:val="center"/>
        <w:rPr>
          <w:b/>
          <w:sz w:val="22"/>
          <w:szCs w:val="22"/>
        </w:rPr>
      </w:pPr>
    </w:p>
    <w:p w:rsidR="00E11108" w:rsidRDefault="00E11108" w:rsidP="00E11108">
      <w:pPr>
        <w:pStyle w:val="Standard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Права и обязанности сторон</w:t>
      </w:r>
    </w:p>
    <w:p w:rsidR="00E11108" w:rsidRDefault="00E11108" w:rsidP="00E11108">
      <w:pPr>
        <w:pStyle w:val="Standard"/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обязуется:</w:t>
      </w:r>
    </w:p>
    <w:p w:rsidR="00E11108" w:rsidRDefault="00E11108" w:rsidP="00E11108">
      <w:pPr>
        <w:pStyle w:val="Standard"/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2.1.1. В течение 10 (десяти)  дней с даты полной оплаты Имущества  передать  Покупателю  Имущество, а также всю документацию относительно Имущества, на согласованных условиях. Передача Имущества оформляется Актом приема-передачи.</w:t>
      </w:r>
    </w:p>
    <w:p w:rsidR="00E11108" w:rsidRDefault="00E11108" w:rsidP="00E11108">
      <w:pPr>
        <w:pStyle w:val="Standard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2.1.2.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Имущество, в течение 10 дней после подписания Акта приема-передачи, в случае если право собственности на Имущество подлежит государственной регистрации в силу закона.</w:t>
      </w:r>
    </w:p>
    <w:p w:rsidR="00E11108" w:rsidRDefault="00E11108" w:rsidP="00E11108">
      <w:pPr>
        <w:pStyle w:val="Standard"/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обязуется:</w:t>
      </w:r>
    </w:p>
    <w:p w:rsidR="00E11108" w:rsidRDefault="00E11108" w:rsidP="00E11108">
      <w:pPr>
        <w:pStyle w:val="Standard"/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2.2.1. Принять Имущество и уплатить покупную цену на согласованных условиях.</w:t>
      </w:r>
    </w:p>
    <w:p w:rsidR="00E11108" w:rsidRDefault="00E11108" w:rsidP="00E11108">
      <w:pPr>
        <w:pStyle w:val="HTML"/>
        <w:ind w:left="360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t>2.2.2. Письменно  уведомить  всех кредиторов по обязательствам, в случае если таковые включены в состав имущества, до передачи Имущества в соответствии с п.2.1.1.  настоящего договора.</w:t>
      </w:r>
    </w:p>
    <w:p w:rsidR="00E11108" w:rsidRDefault="00E11108" w:rsidP="00E11108">
      <w:pPr>
        <w:pStyle w:val="Standard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2.2.3.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Имущество, в случае если право собственности на Имущество подлежит государственной регистрации в силу закона.</w:t>
      </w:r>
    </w:p>
    <w:p w:rsidR="00E11108" w:rsidRDefault="00E11108" w:rsidP="00E11108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center"/>
        <w:rPr>
          <w:b/>
          <w:sz w:val="22"/>
          <w:szCs w:val="22"/>
        </w:rPr>
      </w:pP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Цена и порядок оплаты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center"/>
        <w:rPr>
          <w:b/>
          <w:sz w:val="22"/>
          <w:szCs w:val="22"/>
        </w:rPr>
      </w:pP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</w:pPr>
      <w:r>
        <w:rPr>
          <w:sz w:val="22"/>
          <w:szCs w:val="22"/>
        </w:rPr>
        <w:t xml:space="preserve">3.1. Цена продажи Имущества указанного в п. 1.1 настоящего Договора определена по результатам открытых торгов в электронной форме в соответствии с условиями и порядком проведения торгов, указанными в сообщении </w:t>
      </w:r>
      <w:r>
        <w:rPr>
          <w:sz w:val="22"/>
          <w:szCs w:val="22"/>
          <w:shd w:val="clear" w:color="auto" w:fill="FFFF00"/>
        </w:rPr>
        <w:t>№77032173255 опубликованном в газете Коммерсантъ №61 от 08.04.2017г.</w:t>
      </w:r>
      <w:r>
        <w:rPr>
          <w:sz w:val="22"/>
          <w:szCs w:val="22"/>
        </w:rPr>
        <w:t xml:space="preserve">  в размере  ________________________руб.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</w:pPr>
      <w:r>
        <w:rPr>
          <w:sz w:val="22"/>
          <w:szCs w:val="22"/>
        </w:rPr>
        <w:lastRenderedPageBreak/>
        <w:t xml:space="preserve">Указанная цена установлена по результатам проведения открытых торгов в электронной форме по продаже Имущества, принадлежащего ООО «Спиртзавод «ПИРАКВА» состоявшихся </w:t>
      </w:r>
      <w:r>
        <w:rPr>
          <w:sz w:val="22"/>
          <w:szCs w:val="22"/>
          <w:shd w:val="clear" w:color="auto" w:fill="FFFF00"/>
        </w:rPr>
        <w:t>«___»_________2017г.</w:t>
      </w:r>
      <w:r>
        <w:rPr>
          <w:sz w:val="22"/>
          <w:szCs w:val="22"/>
        </w:rPr>
        <w:t xml:space="preserve"> (Лот №___, Протокол о результатах проведения открытых торгов в электронной форме по продаже имущества ООО «Спиртзавод «ПИРАКВА» </w:t>
      </w:r>
      <w:r>
        <w:rPr>
          <w:sz w:val="22"/>
          <w:szCs w:val="22"/>
          <w:shd w:val="clear" w:color="auto" w:fill="FFFF00"/>
        </w:rPr>
        <w:t>от «__» ________ 2017г).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</w:pPr>
      <w:r>
        <w:rPr>
          <w:sz w:val="22"/>
          <w:szCs w:val="22"/>
        </w:rPr>
        <w:t xml:space="preserve">3.2. Сумма задатка за участие в торгах __________________, оплаченная покупателем по платежному поручению </w:t>
      </w:r>
      <w:r>
        <w:rPr>
          <w:sz w:val="22"/>
          <w:szCs w:val="22"/>
          <w:shd w:val="clear" w:color="auto" w:fill="FFFF00"/>
        </w:rPr>
        <w:t>№____ от «___» __________ 2017 года</w:t>
      </w:r>
      <w:r>
        <w:rPr>
          <w:sz w:val="22"/>
          <w:szCs w:val="22"/>
        </w:rPr>
        <w:t xml:space="preserve"> засчитывается в качестве платежа за приобретение Имущества.</w:t>
      </w:r>
    </w:p>
    <w:p w:rsidR="00E11108" w:rsidRDefault="00E11108" w:rsidP="00E11108">
      <w:pPr>
        <w:jc w:val="both"/>
      </w:pPr>
      <w:r>
        <w:rPr>
          <w:rFonts w:ascii="Times New Roman" w:hAnsi="Times New Roman" w:cs="Times New Roman"/>
        </w:rPr>
        <w:t xml:space="preserve">3.3. Оставшуюся сумму, </w:t>
      </w:r>
      <w:r>
        <w:rPr>
          <w:rFonts w:ascii="Times New Roman" w:hAnsi="Times New Roman" w:cs="Times New Roman"/>
          <w:shd w:val="clear" w:color="auto" w:fill="FFFF00"/>
        </w:rPr>
        <w:t>в размере – _______________ рублей 00 копеек</w:t>
      </w:r>
      <w:r>
        <w:rPr>
          <w:rFonts w:ascii="Times New Roman" w:hAnsi="Times New Roman" w:cs="Times New Roman"/>
        </w:rPr>
        <w:t xml:space="preserve"> Покупатель обязан в течение 30 (Тридцати) дней с момента заключения настоящего Договора оплатить  ООО «Спиртзавод «ПИРАВКА» » по следующим  реквизитам:  получатель ООО «Спиртзавод «ПИРАКВА» ИНН 3605005345, ОГРН 1023600645353, </w:t>
      </w:r>
      <w:r>
        <w:rPr>
          <w:rFonts w:ascii="Times New Roman" w:hAnsi="Times New Roman" w:cs="Times New Roman"/>
          <w:spacing w:val="-2"/>
        </w:rPr>
        <w:t>№ 40702810713000009652 в Центрально-Черноземном банке ПАО «Сбербанк России», к/с 30101810600000000681, БИК 042007681.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3.4. Все расходы по государственной регистрации перехода прав собственности на Имущество в случае необходимости такой регистрации несет Покупатель.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  <w:rPr>
          <w:sz w:val="22"/>
          <w:szCs w:val="22"/>
        </w:rPr>
      </w:pP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Переход права собственности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center"/>
        <w:rPr>
          <w:b/>
          <w:sz w:val="22"/>
          <w:szCs w:val="22"/>
        </w:rPr>
      </w:pP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4.1. Право собственности на Имущество возникает у Покупателя с момента передачи имущества или, в случае если это предусмотрено законом, с момента государственной регистрации перехода права собственности в установленном законодательством порядке.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4.2. Со дня подписания Сторонами Акта приема-передачи Имущества ответственность за сохранность Имущества, равно как и риск его случайного повреждения или гибели, несет Покупатель.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  <w:rPr>
          <w:sz w:val="22"/>
          <w:szCs w:val="22"/>
        </w:rPr>
      </w:pP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Ответственность сторон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center"/>
        <w:rPr>
          <w:b/>
          <w:sz w:val="22"/>
          <w:szCs w:val="22"/>
        </w:rPr>
      </w:pP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5.1. В случае неисполнения Покупателем п.3.3. настоящего Договора в 30-ти дневный срок, Продавец вправе отказаться от исполнения Договора в одностороннем порядке.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center"/>
        <w:rPr>
          <w:b/>
          <w:sz w:val="22"/>
          <w:szCs w:val="22"/>
        </w:rPr>
      </w:pP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Обстоятельства непреодолимой силы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center"/>
        <w:rPr>
          <w:b/>
          <w:sz w:val="22"/>
          <w:szCs w:val="22"/>
        </w:rPr>
      </w:pPr>
    </w:p>
    <w:p w:rsidR="00E11108" w:rsidRDefault="00E11108" w:rsidP="00E11108">
      <w:pPr>
        <w:pStyle w:val="Standard"/>
        <w:tabs>
          <w:tab w:val="left" w:pos="10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6.1.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6.2. К обстоятельствам, указанным в п. 6.1 настоящего Договора,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Договора, и другие события, которые компетентный арбитражный  суд признает и объявит случаями непреодолимой силы.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6.3.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6.4. Наступление обстоятельств, предусмотренных настоящей статьей, при условии соблюдения требований п. 6.3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6.5. В случае если обстоятельства, предусмотренные настоящей статьей, длятся более 1 месяца, Стороны совместно определяют дальнейшую юридическую судьбу настоящего Договора.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  <w:rPr>
          <w:sz w:val="22"/>
          <w:szCs w:val="22"/>
        </w:rPr>
      </w:pP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Прочие условия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center"/>
        <w:rPr>
          <w:b/>
          <w:sz w:val="22"/>
          <w:szCs w:val="22"/>
        </w:rPr>
      </w:pP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</w:pPr>
      <w:r>
        <w:rPr>
          <w:sz w:val="22"/>
          <w:szCs w:val="22"/>
        </w:rPr>
        <w:lastRenderedPageBreak/>
        <w:t xml:space="preserve">7.1. Споры и разногласия, возникшие из настоящего Договора или в связи с ним, будут решаться Сторонами путем переговоров. </w:t>
      </w:r>
      <w:r>
        <w:rPr>
          <w:bCs/>
          <w:sz w:val="22"/>
          <w:szCs w:val="22"/>
        </w:rPr>
        <w:t>В случае невозможности разрешения споров путем переговоров Стороны передают их на рассмотрение в суд в порядке, предусмотренном действующим законодательством Российской Федерации.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7.2.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7.3.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7.4. Настоящий Договор вступает в силу с даты его подписания и действует до исполнения сторонами всех принятых на себя обязательств.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  <w:rPr>
          <w:sz w:val="22"/>
          <w:szCs w:val="22"/>
        </w:rPr>
      </w:pPr>
    </w:p>
    <w:p w:rsidR="00E11108" w:rsidRDefault="00E11108" w:rsidP="00E11108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Заключительные положения</w:t>
      </w:r>
    </w:p>
    <w:p w:rsidR="00E11108" w:rsidRDefault="00E11108" w:rsidP="00E11108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b/>
          <w:bCs/>
          <w:sz w:val="22"/>
          <w:szCs w:val="22"/>
        </w:rPr>
      </w:pP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</w:pPr>
      <w:r>
        <w:rPr>
          <w:sz w:val="22"/>
          <w:szCs w:val="22"/>
        </w:rPr>
        <w:t>8.1. Настоящий  Договор составлен в трех экземплярах, имеющих одинаковую юридическую силу, по одному экземпляру для каждой из Сторон и один для предоставления в Управление Федеральной службы государственной регистрации, кадастра и картографии по Воронежской  области.</w:t>
      </w:r>
      <w:r>
        <w:rPr>
          <w:b/>
          <w:bCs/>
          <w:sz w:val="22"/>
          <w:szCs w:val="22"/>
        </w:rPr>
        <w:t xml:space="preserve">                              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center"/>
        <w:rPr>
          <w:b/>
          <w:sz w:val="22"/>
          <w:szCs w:val="22"/>
        </w:rPr>
      </w:pP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Место нахождения, банковские реквизиты и подписи Сторон</w:t>
      </w:r>
    </w:p>
    <w:p w:rsidR="00E11108" w:rsidRDefault="00E11108" w:rsidP="00E11108">
      <w:pPr>
        <w:pStyle w:val="Standard"/>
        <w:tabs>
          <w:tab w:val="left" w:pos="64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center"/>
        <w:rPr>
          <w:b/>
          <w:sz w:val="22"/>
          <w:szCs w:val="22"/>
        </w:rPr>
      </w:pPr>
    </w:p>
    <w:tbl>
      <w:tblPr>
        <w:tblW w:w="8726" w:type="dxa"/>
        <w:tblInd w:w="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0"/>
        <w:gridCol w:w="4376"/>
      </w:tblGrid>
      <w:tr w:rsidR="00E11108" w:rsidTr="00C827F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108" w:rsidRDefault="00E11108" w:rsidP="00C827F8">
            <w:pPr>
              <w:pStyle w:val="Standard"/>
              <w:tabs>
                <w:tab w:val="left" w:pos="64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lef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«Продавец»:</w:t>
            </w:r>
          </w:p>
        </w:tc>
        <w:tc>
          <w:tcPr>
            <w:tcW w:w="4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108" w:rsidRDefault="00E11108" w:rsidP="00C827F8">
            <w:pPr>
              <w:pStyle w:val="Standard"/>
              <w:tabs>
                <w:tab w:val="left" w:pos="64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lef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Покупатель»:</w:t>
            </w:r>
          </w:p>
        </w:tc>
      </w:tr>
      <w:tr w:rsidR="00E11108" w:rsidTr="00C827F8">
        <w:tblPrEx>
          <w:tblCellMar>
            <w:top w:w="0" w:type="dxa"/>
            <w:bottom w:w="0" w:type="dxa"/>
          </w:tblCellMar>
        </w:tblPrEx>
        <w:trPr>
          <w:trHeight w:val="3795"/>
        </w:trPr>
        <w:tc>
          <w:tcPr>
            <w:tcW w:w="4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108" w:rsidRDefault="00E11108" w:rsidP="00C827F8">
            <w:pPr>
              <w:pStyle w:val="Standard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ООО «Спиртзавод «ПИРАКВА»</w:t>
            </w:r>
          </w:p>
          <w:p w:rsidR="00E11108" w:rsidRDefault="00E11108" w:rsidP="00C827F8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397500, Воронежская область, г. Бутурлиновка, ул.Розы Люксембург, 83а</w:t>
            </w:r>
          </w:p>
          <w:p w:rsidR="00E11108" w:rsidRDefault="00E11108" w:rsidP="00C827F8">
            <w:pPr>
              <w:pStyle w:val="Standard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3605005345, ОГРН 1023600645353</w:t>
            </w:r>
          </w:p>
          <w:p w:rsidR="00E11108" w:rsidRDefault="00E11108" w:rsidP="00C827F8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№ 40702810713000009652 в Центрально-Черноземном банке ПАО «Сбербанк России», к/с 30101810600000000681, БИК 042007681.</w:t>
            </w:r>
          </w:p>
          <w:p w:rsidR="00E11108" w:rsidRDefault="00E11108" w:rsidP="00C827F8">
            <w:pPr>
              <w:pStyle w:val="Standard"/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E11108" w:rsidRDefault="00E11108" w:rsidP="00C827F8">
            <w:pPr>
              <w:pStyle w:val="Standard"/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конкурсный управляющий</w:t>
            </w:r>
          </w:p>
          <w:p w:rsidR="00E11108" w:rsidRDefault="00E11108" w:rsidP="00C827F8">
            <w:pPr>
              <w:pStyle w:val="Standard"/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E11108" w:rsidRDefault="00E11108" w:rsidP="00C827F8">
            <w:pPr>
              <w:pStyle w:val="Standard"/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_______________ П.П. Горшков </w:t>
            </w:r>
          </w:p>
          <w:p w:rsidR="00E11108" w:rsidRDefault="00E11108" w:rsidP="00C827F8">
            <w:pPr>
              <w:pStyle w:val="Standard"/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4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108" w:rsidRDefault="00E11108" w:rsidP="00C827F8">
            <w:pPr>
              <w:pStyle w:val="Standard"/>
              <w:tabs>
                <w:tab w:val="left" w:pos="360"/>
              </w:tabs>
              <w:jc w:val="both"/>
              <w:rPr>
                <w:sz w:val="22"/>
                <w:szCs w:val="22"/>
                <w:shd w:val="clear" w:color="auto" w:fill="FFFF00"/>
              </w:rPr>
            </w:pPr>
          </w:p>
          <w:p w:rsidR="00E11108" w:rsidRDefault="00E11108" w:rsidP="00C827F8">
            <w:pPr>
              <w:pStyle w:val="Standard"/>
              <w:tabs>
                <w:tab w:val="left" w:pos="360"/>
              </w:tabs>
              <w:jc w:val="both"/>
              <w:rPr>
                <w:sz w:val="22"/>
                <w:szCs w:val="22"/>
                <w:shd w:val="clear" w:color="auto" w:fill="FFFF00"/>
              </w:rPr>
            </w:pPr>
          </w:p>
          <w:p w:rsidR="00E11108" w:rsidRDefault="00E11108" w:rsidP="00C827F8">
            <w:pPr>
              <w:pStyle w:val="Standard"/>
              <w:tabs>
                <w:tab w:val="left" w:pos="360"/>
              </w:tabs>
              <w:jc w:val="both"/>
              <w:rPr>
                <w:sz w:val="22"/>
                <w:szCs w:val="22"/>
                <w:shd w:val="clear" w:color="auto" w:fill="FFFF00"/>
              </w:rPr>
            </w:pPr>
          </w:p>
          <w:p w:rsidR="00E11108" w:rsidRDefault="00E11108" w:rsidP="00C827F8">
            <w:pPr>
              <w:pStyle w:val="Standard"/>
              <w:tabs>
                <w:tab w:val="left" w:pos="360"/>
              </w:tabs>
              <w:jc w:val="both"/>
              <w:rPr>
                <w:sz w:val="22"/>
                <w:szCs w:val="22"/>
                <w:shd w:val="clear" w:color="auto" w:fill="FFFF00"/>
              </w:rPr>
            </w:pPr>
          </w:p>
          <w:p w:rsidR="00E11108" w:rsidRDefault="00E11108" w:rsidP="00C827F8">
            <w:pPr>
              <w:pStyle w:val="Standard"/>
              <w:tabs>
                <w:tab w:val="left" w:pos="360"/>
              </w:tabs>
              <w:jc w:val="both"/>
              <w:rPr>
                <w:sz w:val="22"/>
                <w:szCs w:val="22"/>
                <w:shd w:val="clear" w:color="auto" w:fill="FFFF00"/>
              </w:rPr>
            </w:pPr>
          </w:p>
          <w:p w:rsidR="00E11108" w:rsidRDefault="00E11108" w:rsidP="00C827F8">
            <w:pPr>
              <w:pStyle w:val="Standard"/>
              <w:tabs>
                <w:tab w:val="left" w:pos="360"/>
              </w:tabs>
              <w:jc w:val="both"/>
              <w:rPr>
                <w:sz w:val="22"/>
                <w:szCs w:val="22"/>
                <w:shd w:val="clear" w:color="auto" w:fill="FFFF00"/>
              </w:rPr>
            </w:pPr>
          </w:p>
          <w:p w:rsidR="00E11108" w:rsidRDefault="00E11108" w:rsidP="00C827F8">
            <w:pPr>
              <w:pStyle w:val="Standard"/>
              <w:tabs>
                <w:tab w:val="left" w:pos="360"/>
              </w:tabs>
              <w:jc w:val="both"/>
              <w:rPr>
                <w:sz w:val="22"/>
                <w:szCs w:val="22"/>
                <w:shd w:val="clear" w:color="auto" w:fill="FFFF00"/>
              </w:rPr>
            </w:pPr>
          </w:p>
          <w:p w:rsidR="00E11108" w:rsidRDefault="00E11108" w:rsidP="00C827F8">
            <w:pPr>
              <w:pStyle w:val="Standard"/>
              <w:tabs>
                <w:tab w:val="left" w:pos="360"/>
              </w:tabs>
              <w:jc w:val="both"/>
              <w:rPr>
                <w:sz w:val="22"/>
                <w:szCs w:val="22"/>
                <w:shd w:val="clear" w:color="auto" w:fill="FFFF00"/>
              </w:rPr>
            </w:pPr>
          </w:p>
          <w:p w:rsidR="00E11108" w:rsidRDefault="00E11108" w:rsidP="00C827F8">
            <w:pPr>
              <w:pStyle w:val="Standard"/>
              <w:tabs>
                <w:tab w:val="left" w:pos="360"/>
              </w:tabs>
              <w:jc w:val="both"/>
              <w:rPr>
                <w:sz w:val="22"/>
                <w:szCs w:val="22"/>
                <w:shd w:val="clear" w:color="auto" w:fill="FFFF00"/>
              </w:rPr>
            </w:pPr>
          </w:p>
          <w:p w:rsidR="00E11108" w:rsidRDefault="00E11108" w:rsidP="00C827F8">
            <w:pPr>
              <w:pStyle w:val="Standard"/>
              <w:tabs>
                <w:tab w:val="left" w:pos="360"/>
              </w:tabs>
              <w:jc w:val="both"/>
              <w:rPr>
                <w:sz w:val="22"/>
                <w:szCs w:val="22"/>
                <w:shd w:val="clear" w:color="auto" w:fill="FFFF00"/>
              </w:rPr>
            </w:pPr>
          </w:p>
          <w:p w:rsidR="00E11108" w:rsidRDefault="00E11108" w:rsidP="00C827F8">
            <w:pPr>
              <w:pStyle w:val="Standard"/>
              <w:tabs>
                <w:tab w:val="left" w:pos="360"/>
              </w:tabs>
              <w:jc w:val="both"/>
              <w:rPr>
                <w:sz w:val="22"/>
                <w:szCs w:val="22"/>
                <w:shd w:val="clear" w:color="auto" w:fill="FFFF00"/>
              </w:rPr>
            </w:pPr>
          </w:p>
          <w:p w:rsidR="00E11108" w:rsidRDefault="00E11108" w:rsidP="00C827F8">
            <w:pPr>
              <w:pStyle w:val="Standard"/>
              <w:tabs>
                <w:tab w:val="left" w:pos="360"/>
              </w:tabs>
              <w:jc w:val="both"/>
              <w:rPr>
                <w:sz w:val="22"/>
                <w:szCs w:val="22"/>
                <w:shd w:val="clear" w:color="auto" w:fill="FFFF00"/>
              </w:rPr>
            </w:pPr>
          </w:p>
          <w:p w:rsidR="00E11108" w:rsidRDefault="00E11108" w:rsidP="00C827F8">
            <w:pPr>
              <w:pStyle w:val="Standard"/>
              <w:tabs>
                <w:tab w:val="left" w:pos="360"/>
              </w:tabs>
              <w:jc w:val="both"/>
              <w:rPr>
                <w:sz w:val="22"/>
                <w:szCs w:val="22"/>
                <w:shd w:val="clear" w:color="auto" w:fill="FFFF00"/>
              </w:rPr>
            </w:pPr>
          </w:p>
          <w:p w:rsidR="00E11108" w:rsidRDefault="00E11108" w:rsidP="00C827F8">
            <w:pPr>
              <w:pStyle w:val="Standard"/>
              <w:tabs>
                <w:tab w:val="left" w:pos="360"/>
              </w:tabs>
              <w:jc w:val="both"/>
              <w:rPr>
                <w:sz w:val="22"/>
                <w:szCs w:val="22"/>
                <w:shd w:val="clear" w:color="auto" w:fill="FFFF00"/>
              </w:rPr>
            </w:pPr>
          </w:p>
          <w:p w:rsidR="00E11108" w:rsidRDefault="00E11108" w:rsidP="00C827F8">
            <w:pPr>
              <w:pStyle w:val="Standard"/>
              <w:tabs>
                <w:tab w:val="left" w:pos="360"/>
              </w:tabs>
              <w:jc w:val="both"/>
              <w:rPr>
                <w:sz w:val="22"/>
                <w:szCs w:val="22"/>
                <w:shd w:val="clear" w:color="auto" w:fill="FFFF00"/>
              </w:rPr>
            </w:pPr>
          </w:p>
          <w:p w:rsidR="00E11108" w:rsidRDefault="00E11108" w:rsidP="00C827F8">
            <w:pPr>
              <w:pStyle w:val="Standard"/>
              <w:tabs>
                <w:tab w:val="left" w:pos="360"/>
              </w:tabs>
              <w:jc w:val="both"/>
              <w:rPr>
                <w:sz w:val="22"/>
                <w:szCs w:val="22"/>
                <w:shd w:val="clear" w:color="auto" w:fill="FFFF00"/>
              </w:rPr>
            </w:pPr>
          </w:p>
          <w:p w:rsidR="00E11108" w:rsidRDefault="00E11108" w:rsidP="00C827F8">
            <w:pPr>
              <w:pStyle w:val="Standard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E11108" w:rsidRDefault="00E11108" w:rsidP="00E11108">
      <w:pPr>
        <w:pStyle w:val="Standard"/>
        <w:jc w:val="both"/>
        <w:rPr>
          <w:sz w:val="22"/>
          <w:szCs w:val="22"/>
        </w:rPr>
      </w:pPr>
    </w:p>
    <w:p w:rsidR="00E11108" w:rsidRDefault="00E11108" w:rsidP="00E11108">
      <w:pPr>
        <w:pStyle w:val="Standard"/>
        <w:rPr>
          <w:sz w:val="22"/>
          <w:szCs w:val="22"/>
        </w:rPr>
      </w:pPr>
    </w:p>
    <w:p w:rsidR="001E5249" w:rsidRDefault="001E5249">
      <w:bookmarkStart w:id="0" w:name="_GoBack"/>
      <w:bookmarkEnd w:id="0"/>
    </w:p>
    <w:sectPr w:rsidR="001E5249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08"/>
    <w:rsid w:val="001E5249"/>
    <w:rsid w:val="00E1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84237-B14F-4937-9CCB-2DE359B4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1108"/>
    <w:pPr>
      <w:widowControl w:val="0"/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11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HTML">
    <w:name w:val="HTML Preformatted"/>
    <w:basedOn w:val="Standard"/>
    <w:link w:val="HTML0"/>
    <w:rsid w:val="00E11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1108"/>
    <w:rPr>
      <w:rFonts w:ascii="Courier New" w:eastAsia="Times New Roman" w:hAnsi="Courier New" w:cs="Courier New"/>
      <w:color w:val="333333"/>
      <w:kern w:val="3"/>
      <w:sz w:val="20"/>
      <w:szCs w:val="20"/>
      <w:lang w:eastAsia="ru-RU"/>
    </w:rPr>
  </w:style>
  <w:style w:type="paragraph" w:styleId="2">
    <w:name w:val="Body Text 2"/>
    <w:basedOn w:val="Standard"/>
    <w:link w:val="20"/>
    <w:rsid w:val="00E11108"/>
    <w:rPr>
      <w:szCs w:val="20"/>
    </w:rPr>
  </w:style>
  <w:style w:type="character" w:customStyle="1" w:styleId="20">
    <w:name w:val="Основной текст 2 Знак"/>
    <w:basedOn w:val="a0"/>
    <w:link w:val="2"/>
    <w:rsid w:val="00E11108"/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Савченко</dc:creator>
  <cp:keywords/>
  <dc:description/>
  <cp:lastModifiedBy>Надежда Савченко</cp:lastModifiedBy>
  <cp:revision>1</cp:revision>
  <dcterms:created xsi:type="dcterms:W3CDTF">2017-04-11T13:37:00Z</dcterms:created>
  <dcterms:modified xsi:type="dcterms:W3CDTF">2017-04-11T13:37:00Z</dcterms:modified>
</cp:coreProperties>
</file>