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8E63FC" w14:textId="77777777" w:rsidR="008A007A" w:rsidRPr="00324B1D" w:rsidRDefault="006E1BCE" w:rsidP="0001607A">
      <w:pPr>
        <w:pStyle w:val="a3"/>
        <w:outlineLvl w:val="0"/>
        <w:rPr>
          <w:rFonts w:ascii="Arial" w:hAnsi="Arial" w:cs="Arial"/>
          <w:szCs w:val="20"/>
        </w:rPr>
      </w:pPr>
      <w:r>
        <w:rPr>
          <w:rFonts w:ascii="Arial" w:hAnsi="Arial" w:cs="Arial"/>
          <w:szCs w:val="20"/>
        </w:rPr>
        <w:t>ДОГОВОР О ЗАДАТКЕ</w:t>
      </w:r>
    </w:p>
    <w:p w14:paraId="2B9E7E82" w14:textId="77777777" w:rsidR="008A007A" w:rsidRPr="00324B1D" w:rsidRDefault="008A007A" w:rsidP="008A007A">
      <w:pPr>
        <w:rPr>
          <w:rFonts w:ascii="Arial" w:hAnsi="Arial" w:cs="Arial"/>
          <w:sz w:val="20"/>
          <w:szCs w:val="20"/>
        </w:rPr>
      </w:pPr>
    </w:p>
    <w:p w14:paraId="7A681166" w14:textId="541472E8" w:rsidR="008A007A" w:rsidRPr="00324B1D" w:rsidRDefault="008A007A" w:rsidP="008A007A">
      <w:pPr>
        <w:rPr>
          <w:rFonts w:ascii="Arial" w:hAnsi="Arial" w:cs="Arial"/>
          <w:sz w:val="20"/>
          <w:szCs w:val="20"/>
        </w:rPr>
      </w:pPr>
      <w:r w:rsidRPr="00324B1D">
        <w:rPr>
          <w:rFonts w:ascii="Arial" w:hAnsi="Arial" w:cs="Arial"/>
          <w:sz w:val="20"/>
          <w:szCs w:val="20"/>
        </w:rPr>
        <w:t xml:space="preserve">г. </w:t>
      </w:r>
      <w:proofErr w:type="spellStart"/>
      <w:r w:rsidR="00466E98">
        <w:rPr>
          <w:rFonts w:ascii="Arial" w:hAnsi="Arial" w:cs="Arial"/>
          <w:sz w:val="20"/>
          <w:szCs w:val="20"/>
        </w:rPr>
        <w:t>Няндома</w:t>
      </w:r>
      <w:proofErr w:type="spellEnd"/>
      <w:r w:rsidRPr="00324B1D">
        <w:rPr>
          <w:rFonts w:ascii="Arial" w:hAnsi="Arial" w:cs="Arial"/>
          <w:sz w:val="20"/>
          <w:szCs w:val="20"/>
        </w:rPr>
        <w:t xml:space="preserve">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6E1BCE">
        <w:rPr>
          <w:rFonts w:ascii="Arial" w:hAnsi="Arial" w:cs="Arial"/>
          <w:sz w:val="20"/>
          <w:szCs w:val="20"/>
        </w:rPr>
        <w:t xml:space="preserve"> 201</w:t>
      </w:r>
      <w:r w:rsidR="00466E98">
        <w:rPr>
          <w:rFonts w:ascii="Arial" w:hAnsi="Arial" w:cs="Arial"/>
          <w:sz w:val="20"/>
          <w:szCs w:val="20"/>
        </w:rPr>
        <w:t>7</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3BE83AA6"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466E98" w:rsidRPr="00466E98">
        <w:rPr>
          <w:rFonts w:ascii="Arial" w:hAnsi="Arial" w:cs="Arial"/>
          <w:sz w:val="20"/>
          <w:szCs w:val="20"/>
        </w:rPr>
        <w:t>Организатор торгов конкурсный управляющий</w:t>
      </w:r>
      <w:r w:rsidR="00466E98" w:rsidRPr="00466E98">
        <w:rPr>
          <w:rFonts w:ascii="Arial" w:hAnsi="Arial" w:cs="Arial"/>
          <w:b/>
          <w:sz w:val="20"/>
          <w:szCs w:val="20"/>
        </w:rPr>
        <w:t xml:space="preserve"> ООО «КАРГОПОЛЬЕ» </w:t>
      </w:r>
      <w:r w:rsidR="00466E98" w:rsidRPr="00466E98">
        <w:rPr>
          <w:rFonts w:ascii="Arial" w:hAnsi="Arial" w:cs="Arial"/>
          <w:sz w:val="20"/>
          <w:szCs w:val="20"/>
        </w:rPr>
        <w:t xml:space="preserve">(ОГРН 1062918007470, ИНН 2911005159, 164110, Архангельская область, </w:t>
      </w:r>
      <w:proofErr w:type="spellStart"/>
      <w:r w:rsidR="00466E98" w:rsidRPr="00466E98">
        <w:rPr>
          <w:rFonts w:ascii="Arial" w:hAnsi="Arial" w:cs="Arial"/>
          <w:sz w:val="20"/>
          <w:szCs w:val="20"/>
        </w:rPr>
        <w:t>Каргопольский</w:t>
      </w:r>
      <w:proofErr w:type="spellEnd"/>
      <w:r w:rsidR="00466E98" w:rsidRPr="00466E98">
        <w:rPr>
          <w:rFonts w:ascii="Arial" w:hAnsi="Arial" w:cs="Arial"/>
          <w:sz w:val="20"/>
          <w:szCs w:val="20"/>
        </w:rPr>
        <w:t xml:space="preserve"> район, пос. Пригородный, ул. Труда, 12) </w:t>
      </w:r>
      <w:r w:rsidR="00466E98" w:rsidRPr="00466E98">
        <w:rPr>
          <w:rFonts w:ascii="Arial" w:hAnsi="Arial" w:cs="Arial"/>
          <w:b/>
          <w:sz w:val="20"/>
          <w:szCs w:val="20"/>
        </w:rPr>
        <w:t xml:space="preserve">Муха Николай Иванович </w:t>
      </w:r>
      <w:r w:rsidR="00466E98" w:rsidRPr="00466E98">
        <w:rPr>
          <w:rFonts w:ascii="Arial" w:hAnsi="Arial" w:cs="Arial"/>
          <w:sz w:val="20"/>
          <w:szCs w:val="20"/>
        </w:rPr>
        <w:t xml:space="preserve">(СНИЛС 043-264-827-45, ИНН 291800276404, адрес: 164200, Архангельская обл., г. </w:t>
      </w:r>
      <w:proofErr w:type="spellStart"/>
      <w:r w:rsidR="00466E98" w:rsidRPr="00466E98">
        <w:rPr>
          <w:rFonts w:ascii="Arial" w:hAnsi="Arial" w:cs="Arial"/>
          <w:sz w:val="20"/>
          <w:szCs w:val="20"/>
        </w:rPr>
        <w:t>Няндома</w:t>
      </w:r>
      <w:proofErr w:type="spellEnd"/>
      <w:r w:rsidR="00466E98" w:rsidRPr="00466E98">
        <w:rPr>
          <w:rFonts w:ascii="Arial" w:hAnsi="Arial" w:cs="Arial"/>
          <w:sz w:val="20"/>
          <w:szCs w:val="20"/>
        </w:rPr>
        <w:t>, ул. Индустриальная, д. 4, оф. 19), член Союза АУ СРО СС (194100, г. Санкт-Петербург, ул. Новолитовская, д. 15А, ИНН 7813175754, ОГРН 1027806876173), действует на основании Определения Арбитражного суда Архангельской области от 21.02.2017 по делу А05-12354/2014</w:t>
      </w:r>
      <w:r w:rsidRPr="00466E98">
        <w:rPr>
          <w:rFonts w:ascii="Arial" w:hAnsi="Arial" w:cs="Arial"/>
          <w:sz w:val="20"/>
          <w:szCs w:val="20"/>
        </w:rPr>
        <w:t>,</w:t>
      </w:r>
      <w:r w:rsidRPr="00324B1D">
        <w:rPr>
          <w:rFonts w:ascii="Arial" w:hAnsi="Arial" w:cs="Arial"/>
          <w:sz w:val="20"/>
          <w:szCs w:val="20"/>
        </w:rPr>
        <w:t xml:space="preserve">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324B1D">
        <w:rPr>
          <w:rFonts w:ascii="Arial" w:hAnsi="Arial" w:cs="Arial"/>
          <w:b/>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0833D816" w:rsidR="008A007A" w:rsidRPr="00324B1D" w:rsidRDefault="00DF2B2F" w:rsidP="00E5233F">
      <w:pPr>
        <w:numPr>
          <w:ilvl w:val="1"/>
          <w:numId w:val="2"/>
        </w:numPr>
        <w:tabs>
          <w:tab w:val="clear" w:pos="360"/>
          <w:tab w:val="num" w:pos="0"/>
        </w:tabs>
        <w:ind w:left="0" w:firstLine="0"/>
        <w:jc w:val="both"/>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имущества </w:t>
      </w:r>
      <w:r w:rsidR="004D34CE" w:rsidRPr="004D34CE">
        <w:rPr>
          <w:rFonts w:ascii="Arial" w:hAnsi="Arial" w:cs="Arial"/>
          <w:b/>
          <w:sz w:val="20"/>
          <w:szCs w:val="20"/>
        </w:rPr>
        <w:t>Обществ</w:t>
      </w:r>
      <w:r w:rsidR="004D34CE">
        <w:rPr>
          <w:rFonts w:ascii="Arial" w:hAnsi="Arial" w:cs="Arial"/>
          <w:b/>
          <w:sz w:val="20"/>
          <w:szCs w:val="20"/>
        </w:rPr>
        <w:t>а</w:t>
      </w:r>
      <w:r w:rsidR="004D34CE" w:rsidRPr="004D34CE">
        <w:rPr>
          <w:rFonts w:ascii="Arial" w:hAnsi="Arial" w:cs="Arial"/>
          <w:b/>
          <w:sz w:val="20"/>
          <w:szCs w:val="20"/>
        </w:rPr>
        <w:t xml:space="preserve"> с ограниченной ответственностью "</w:t>
      </w:r>
      <w:proofErr w:type="spellStart"/>
      <w:r w:rsidR="004D34CE" w:rsidRPr="004D34CE">
        <w:rPr>
          <w:rFonts w:ascii="Arial" w:hAnsi="Arial" w:cs="Arial"/>
          <w:b/>
          <w:sz w:val="20"/>
          <w:szCs w:val="20"/>
        </w:rPr>
        <w:t>Каргополье</w:t>
      </w:r>
      <w:proofErr w:type="spellEnd"/>
      <w:r w:rsidR="004D34CE" w:rsidRPr="004D34CE">
        <w:rPr>
          <w:rFonts w:ascii="Arial" w:hAnsi="Arial" w:cs="Arial"/>
          <w:b/>
          <w:sz w:val="20"/>
          <w:szCs w:val="20"/>
        </w:rPr>
        <w:t>"</w:t>
      </w:r>
      <w:r w:rsidR="00E5233F" w:rsidRPr="00E5233F">
        <w:rPr>
          <w:rFonts w:ascii="Arial" w:hAnsi="Arial" w:cs="Arial"/>
          <w:b/>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w:t>
      </w:r>
      <w:r w:rsidR="00E5233F">
        <w:rPr>
          <w:rFonts w:ascii="Arial" w:hAnsi="Arial" w:cs="Arial"/>
          <w:sz w:val="20"/>
          <w:szCs w:val="20"/>
        </w:rPr>
        <w:t>а</w:t>
      </w:r>
      <w:r w:rsidR="008A007A" w:rsidRPr="00324B1D">
        <w:rPr>
          <w:rFonts w:ascii="Arial" w:hAnsi="Arial" w:cs="Arial"/>
          <w:sz w:val="20"/>
          <w:szCs w:val="20"/>
        </w:rPr>
        <w:t xml:space="preserve"> №</w:t>
      </w:r>
      <w:r w:rsidR="00E5233F">
        <w:rPr>
          <w:rFonts w:ascii="Arial" w:hAnsi="Arial" w:cs="Arial"/>
          <w:sz w:val="20"/>
          <w:szCs w:val="20"/>
        </w:rPr>
        <w:t>1</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466E98">
        <w:rPr>
          <w:rFonts w:ascii="Arial" w:hAnsi="Arial" w:cs="Arial"/>
          <w:sz w:val="20"/>
          <w:szCs w:val="20"/>
        </w:rPr>
        <w:t>____________</w:t>
      </w:r>
      <w:r w:rsidR="00ED55ED">
        <w:rPr>
          <w:rFonts w:ascii="Arial" w:hAnsi="Arial" w:cs="Arial"/>
          <w:sz w:val="20"/>
          <w:szCs w:val="20"/>
        </w:rPr>
        <w:t xml:space="preserve"> руб., что составляет </w:t>
      </w:r>
      <w:r w:rsidR="007722B8">
        <w:rPr>
          <w:rFonts w:ascii="Arial" w:hAnsi="Arial" w:cs="Arial"/>
          <w:sz w:val="20"/>
          <w:szCs w:val="20"/>
        </w:rPr>
        <w:t>2</w:t>
      </w:r>
      <w:r w:rsidR="00ED55ED">
        <w:rPr>
          <w:rFonts w:ascii="Arial" w:hAnsi="Arial" w:cs="Arial"/>
          <w:sz w:val="20"/>
          <w:szCs w:val="20"/>
        </w:rPr>
        <w:t>0%</w:t>
      </w:r>
      <w:r w:rsidR="00466E98">
        <w:rPr>
          <w:rFonts w:ascii="Arial" w:hAnsi="Arial" w:cs="Arial"/>
          <w:sz w:val="20"/>
          <w:szCs w:val="20"/>
        </w:rPr>
        <w:t xml:space="preserve"> (или 10% по лотам 75-79)</w:t>
      </w:r>
      <w:r w:rsidR="00ED55ED">
        <w:rPr>
          <w:rFonts w:ascii="Arial" w:hAnsi="Arial" w:cs="Arial"/>
          <w:sz w:val="20"/>
          <w:szCs w:val="20"/>
        </w:rPr>
        <w:t xml:space="preserve"> от начальной </w:t>
      </w:r>
      <w:r w:rsidR="005B0115">
        <w:rPr>
          <w:rFonts w:ascii="Arial" w:hAnsi="Arial" w:cs="Arial"/>
          <w:sz w:val="20"/>
          <w:szCs w:val="20"/>
        </w:rPr>
        <w:t>цены</w:t>
      </w:r>
      <w:r w:rsidR="00ED55ED">
        <w:rPr>
          <w:rFonts w:ascii="Arial" w:hAnsi="Arial" w:cs="Arial"/>
          <w:sz w:val="20"/>
          <w:szCs w:val="20"/>
        </w:rPr>
        <w:t xml:space="preserve"> указанного лота</w:t>
      </w:r>
      <w:r w:rsidR="008A007A" w:rsidRPr="00324B1D">
        <w:rPr>
          <w:rFonts w:ascii="Arial" w:hAnsi="Arial" w:cs="Arial"/>
          <w:sz w:val="20"/>
          <w:szCs w:val="20"/>
        </w:rPr>
        <w:t xml:space="preserve"> (далее – Задаток), 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466E98" w:rsidRPr="00466E98">
        <w:rPr>
          <w:rFonts w:ascii="Arial" w:hAnsi="Arial" w:cs="Arial"/>
          <w:sz w:val="20"/>
          <w:szCs w:val="20"/>
        </w:rPr>
        <w:t>ООО "</w:t>
      </w:r>
      <w:proofErr w:type="spellStart"/>
      <w:r w:rsidR="00466E98" w:rsidRPr="00466E98">
        <w:rPr>
          <w:rFonts w:ascii="Arial" w:hAnsi="Arial" w:cs="Arial"/>
          <w:sz w:val="20"/>
          <w:szCs w:val="20"/>
        </w:rPr>
        <w:t>Каргополье</w:t>
      </w:r>
      <w:proofErr w:type="spellEnd"/>
      <w:r w:rsidR="00466E98" w:rsidRPr="00466E98">
        <w:rPr>
          <w:rFonts w:ascii="Arial" w:hAnsi="Arial" w:cs="Arial"/>
          <w:sz w:val="20"/>
          <w:szCs w:val="20"/>
        </w:rPr>
        <w:t>", ИНН 2911005159, КПП 291101001, №40702810404000002597 Отделение N8637 ПАО Сбербанк г.Архангельск, к/с 30101810100000000601, БИК 041117601</w:t>
      </w:r>
      <w:r w:rsidR="008A007A" w:rsidRPr="006E1BCE">
        <w:rPr>
          <w:rFonts w:ascii="Arial" w:hAnsi="Arial" w:cs="Arial"/>
          <w:sz w:val="20"/>
          <w:szCs w:val="20"/>
        </w:rPr>
        <w:t xml:space="preserve"> (далее – Счет Организатора торгов).</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w:t>
      </w:r>
      <w:r w:rsidRPr="00324B1D">
        <w:rPr>
          <w:rFonts w:ascii="Arial" w:hAnsi="Arial" w:cs="Arial"/>
          <w:sz w:val="20"/>
          <w:szCs w:val="20"/>
        </w:rPr>
        <w:lastRenderedPageBreak/>
        <w:t xml:space="preserve">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0C806FDE" w14:textId="34168044" w:rsidR="00466E98" w:rsidRDefault="00466E98" w:rsidP="00DB68BD">
            <w:pPr>
              <w:pStyle w:val="2"/>
              <w:tabs>
                <w:tab w:val="left" w:pos="3885"/>
              </w:tabs>
              <w:jc w:val="left"/>
              <w:rPr>
                <w:rFonts w:ascii="Arial" w:hAnsi="Arial" w:cs="Arial"/>
                <w:sz w:val="20"/>
              </w:rPr>
            </w:pPr>
            <w:r>
              <w:rPr>
                <w:rFonts w:ascii="Arial" w:hAnsi="Arial" w:cs="Arial"/>
                <w:sz w:val="20"/>
              </w:rPr>
              <w:t>ООО "</w:t>
            </w:r>
            <w:proofErr w:type="spellStart"/>
            <w:r>
              <w:rPr>
                <w:rFonts w:ascii="Arial" w:hAnsi="Arial" w:cs="Arial"/>
                <w:sz w:val="20"/>
              </w:rPr>
              <w:t>Каргополье</w:t>
            </w:r>
            <w:proofErr w:type="spellEnd"/>
            <w:r>
              <w:rPr>
                <w:rFonts w:ascii="Arial" w:hAnsi="Arial" w:cs="Arial"/>
                <w:sz w:val="20"/>
              </w:rPr>
              <w:t>"</w:t>
            </w:r>
            <w:r w:rsidRPr="00466E98">
              <w:rPr>
                <w:rFonts w:ascii="Arial" w:hAnsi="Arial" w:cs="Arial"/>
                <w:sz w:val="20"/>
              </w:rPr>
              <w:t xml:space="preserve"> </w:t>
            </w:r>
          </w:p>
          <w:p w14:paraId="1669BA9B" w14:textId="36504D00" w:rsidR="00DB68BD" w:rsidRPr="00324B1D" w:rsidRDefault="00466E98" w:rsidP="00DB68BD">
            <w:pPr>
              <w:pStyle w:val="2"/>
              <w:tabs>
                <w:tab w:val="left" w:pos="3885"/>
              </w:tabs>
              <w:jc w:val="left"/>
              <w:rPr>
                <w:rFonts w:ascii="Arial" w:hAnsi="Arial" w:cs="Arial"/>
                <w:b w:val="0"/>
                <w:sz w:val="20"/>
              </w:rPr>
            </w:pPr>
            <w:r w:rsidRPr="00466E98">
              <w:rPr>
                <w:rFonts w:ascii="Arial" w:hAnsi="Arial" w:cs="Arial"/>
                <w:sz w:val="20"/>
              </w:rPr>
              <w:t>ИНН 2911005159, КПП 291101001, №40702810404000002597 Отделение N8637 ПАО Сбербанк г.Архангельск, к/с 30101810100000000601, БИК 041117601</w:t>
            </w:r>
          </w:p>
          <w:p w14:paraId="71287F1B" w14:textId="77777777" w:rsidR="008A007A" w:rsidRPr="00324B1D" w:rsidRDefault="008A007A">
            <w:pPr>
              <w:pStyle w:val="2"/>
              <w:tabs>
                <w:tab w:val="left" w:pos="3885"/>
              </w:tabs>
              <w:jc w:val="left"/>
              <w:rPr>
                <w:rFonts w:ascii="Arial" w:hAnsi="Arial" w:cs="Arial"/>
                <w:b w:val="0"/>
                <w:sz w:val="20"/>
              </w:rPr>
            </w:pPr>
          </w:p>
          <w:p w14:paraId="39A134DB" w14:textId="5FD08C0C" w:rsidR="008A007A" w:rsidRPr="00324B1D" w:rsidRDefault="00466E98">
            <w:pPr>
              <w:pStyle w:val="2"/>
              <w:tabs>
                <w:tab w:val="left" w:pos="3885"/>
              </w:tabs>
              <w:jc w:val="left"/>
              <w:rPr>
                <w:rFonts w:ascii="Arial" w:hAnsi="Arial" w:cs="Arial"/>
                <w:sz w:val="20"/>
              </w:rPr>
            </w:pPr>
            <w:r>
              <w:rPr>
                <w:rFonts w:ascii="Arial" w:hAnsi="Arial" w:cs="Arial"/>
                <w:sz w:val="20"/>
              </w:rPr>
              <w:t>Конкурсный управляющий</w:t>
            </w:r>
            <w:r w:rsidR="008A007A"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435B223B" w:rsidR="008A007A" w:rsidRPr="00324B1D" w:rsidRDefault="008A007A" w:rsidP="00466E98">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Pr="00324B1D">
              <w:rPr>
                <w:rFonts w:ascii="Arial" w:hAnsi="Arial" w:cs="Arial"/>
                <w:sz w:val="20"/>
              </w:rPr>
              <w:t xml:space="preserve"> _______________ /</w:t>
            </w:r>
            <w:r w:rsidR="00466E98">
              <w:rPr>
                <w:rFonts w:ascii="Arial" w:hAnsi="Arial" w:cs="Arial"/>
                <w:sz w:val="20"/>
              </w:rPr>
              <w:t>Н.И. Муха</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187C8E78" w14:textId="77777777" w:rsidR="00C75441" w:rsidRDefault="00C75441">
      <w:pPr>
        <w:rPr>
          <w:rFonts w:ascii="Arial" w:hAnsi="Arial" w:cs="Arial"/>
          <w:sz w:val="20"/>
          <w:szCs w:val="20"/>
        </w:rPr>
      </w:pPr>
    </w:p>
    <w:p w14:paraId="12133E67" w14:textId="77777777" w:rsidR="00466E98" w:rsidRDefault="00466E98" w:rsidP="00466E98">
      <w:pPr>
        <w:pStyle w:val="ConsPlusNonformat"/>
        <w:spacing w:before="80"/>
        <w:ind w:firstLine="708"/>
        <w:jc w:val="both"/>
        <w:rPr>
          <w:rFonts w:ascii="Times New Roman" w:hAnsi="Times New Roman" w:cs="Times New Roman"/>
          <w:sz w:val="22"/>
          <w:szCs w:val="22"/>
        </w:rPr>
      </w:pPr>
      <w:r>
        <w:rPr>
          <w:rFonts w:ascii="Times New Roman" w:hAnsi="Times New Roman" w:cs="Times New Roman"/>
          <w:sz w:val="22"/>
          <w:szCs w:val="22"/>
        </w:rPr>
        <w:t xml:space="preserve">Документ подписывается электронной подписью Организатора торгов в соответствии с п.10, ст.110 </w:t>
      </w:r>
      <w:r w:rsidRPr="004B45AF">
        <w:rPr>
          <w:rFonts w:ascii="Times New Roman" w:hAnsi="Times New Roman" w:cs="Times New Roman"/>
          <w:sz w:val="22"/>
          <w:szCs w:val="22"/>
        </w:rPr>
        <w:t>Федерального закона от 26.10.2002 N 127-ФЗ «О несостоятельности (банкротстве)»</w:t>
      </w:r>
      <w:r>
        <w:rPr>
          <w:rFonts w:ascii="Times New Roman" w:hAnsi="Times New Roman" w:cs="Times New Roman"/>
          <w:sz w:val="22"/>
          <w:szCs w:val="22"/>
        </w:rPr>
        <w:t xml:space="preserve"> и в соответствии с п.3.2. Приложения № 1 к Приказу </w:t>
      </w:r>
      <w:r w:rsidRPr="004B45AF">
        <w:rPr>
          <w:rFonts w:ascii="Times New Roman" w:hAnsi="Times New Roman" w:cs="Times New Roman"/>
          <w:sz w:val="22"/>
          <w:szCs w:val="22"/>
        </w:rPr>
        <w:t>Минэкономразвития России</w:t>
      </w:r>
      <w:r>
        <w:rPr>
          <w:rFonts w:ascii="Times New Roman" w:hAnsi="Times New Roman" w:cs="Times New Roman"/>
          <w:sz w:val="22"/>
          <w:szCs w:val="22"/>
        </w:rPr>
        <w:t xml:space="preserve"> от 23 июля 2015 г. №</w:t>
      </w:r>
      <w:r w:rsidRPr="004B45AF">
        <w:rPr>
          <w:rFonts w:ascii="Times New Roman" w:hAnsi="Times New Roman" w:cs="Times New Roman"/>
          <w:sz w:val="22"/>
          <w:szCs w:val="22"/>
        </w:rPr>
        <w:t xml:space="preserve"> 495</w:t>
      </w:r>
      <w:r>
        <w:rPr>
          <w:rFonts w:ascii="Times New Roman" w:hAnsi="Times New Roman" w:cs="Times New Roman"/>
          <w:sz w:val="22"/>
          <w:szCs w:val="22"/>
        </w:rPr>
        <w:t>.</w:t>
      </w:r>
    </w:p>
    <w:p w14:paraId="1A3D1A1C" w14:textId="074DA0F5" w:rsidR="00466E98" w:rsidRPr="00324B1D" w:rsidRDefault="00466E98" w:rsidP="00466E98">
      <w:pPr>
        <w:rPr>
          <w:rFonts w:ascii="Arial" w:hAnsi="Arial" w:cs="Arial"/>
          <w:sz w:val="20"/>
          <w:szCs w:val="20"/>
        </w:rPr>
      </w:pPr>
      <w:r>
        <w:rPr>
          <w:sz w:val="22"/>
          <w:szCs w:val="22"/>
        </w:rPr>
        <w:tab/>
        <w:t xml:space="preserve">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w:t>
      </w:r>
      <w:r w:rsidRPr="00063264">
        <w:rPr>
          <w:sz w:val="22"/>
          <w:szCs w:val="22"/>
        </w:rPr>
        <w:t>Приложения № 1 к Приказу Минэкономразвития России от 23 июля 2015 г. № 495.</w:t>
      </w:r>
      <w:bookmarkStart w:id="0" w:name="_GoBack"/>
      <w:bookmarkEnd w:id="0"/>
    </w:p>
    <w:sectPr w:rsidR="00466E98"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41B"/>
    <w:rsid w:val="0000541B"/>
    <w:rsid w:val="0001607A"/>
    <w:rsid w:val="00157546"/>
    <w:rsid w:val="00324B1D"/>
    <w:rsid w:val="003A26D1"/>
    <w:rsid w:val="003A412B"/>
    <w:rsid w:val="00466E98"/>
    <w:rsid w:val="004D34CE"/>
    <w:rsid w:val="005B0115"/>
    <w:rsid w:val="006E1BCE"/>
    <w:rsid w:val="007722B8"/>
    <w:rsid w:val="008136FD"/>
    <w:rsid w:val="008A007A"/>
    <w:rsid w:val="00942946"/>
    <w:rsid w:val="00956778"/>
    <w:rsid w:val="00B529C4"/>
    <w:rsid w:val="00B57BFB"/>
    <w:rsid w:val="00BD139B"/>
    <w:rsid w:val="00C168C8"/>
    <w:rsid w:val="00C75441"/>
    <w:rsid w:val="00D71AEB"/>
    <w:rsid w:val="00DB68BD"/>
    <w:rsid w:val="00DF2B2F"/>
    <w:rsid w:val="00E5233F"/>
    <w:rsid w:val="00EB421E"/>
    <w:rsid w:val="00ED55ED"/>
    <w:rsid w:val="00EE74CB"/>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 w:type="paragraph" w:styleId="a4">
    <w:name w:val="Document Map"/>
    <w:basedOn w:val="a"/>
    <w:link w:val="a5"/>
    <w:uiPriority w:val="99"/>
    <w:semiHidden/>
    <w:unhideWhenUsed/>
    <w:rsid w:val="0001607A"/>
  </w:style>
  <w:style w:type="character" w:customStyle="1" w:styleId="a5">
    <w:name w:val="Схема документа Знак"/>
    <w:basedOn w:val="a0"/>
    <w:link w:val="a4"/>
    <w:uiPriority w:val="99"/>
    <w:semiHidden/>
    <w:rsid w:val="0001607A"/>
    <w:rPr>
      <w:sz w:val="24"/>
      <w:szCs w:val="24"/>
    </w:rPr>
  </w:style>
  <w:style w:type="paragraph" w:customStyle="1" w:styleId="ConsPlusNonformat">
    <w:name w:val="ConsPlusNonformat"/>
    <w:uiPriority w:val="99"/>
    <w:rsid w:val="00466E98"/>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1166</Words>
  <Characters>6648</Characters>
  <Application>Microsoft Macintosh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4</cp:revision>
  <dcterms:created xsi:type="dcterms:W3CDTF">2016-05-23T11:26:00Z</dcterms:created>
  <dcterms:modified xsi:type="dcterms:W3CDTF">2017-07-14T20:27:00Z</dcterms:modified>
</cp:coreProperties>
</file>