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CF" w:rsidRPr="001702AA" w:rsidRDefault="001529CF" w:rsidP="005A126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r w:rsidRPr="005A1269">
        <w:rPr>
          <w:b/>
          <w:bCs/>
          <w:sz w:val="22"/>
          <w:szCs w:val="22"/>
          <w:highlight w:val="yellow"/>
        </w:rPr>
        <w:t>Проект</w:t>
      </w:r>
    </w:p>
    <w:p w:rsidR="001529CF" w:rsidRDefault="001529CF" w:rsidP="001702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</w:p>
    <w:p w:rsidR="001529CF" w:rsidRPr="000F5D84" w:rsidRDefault="001529CF" w:rsidP="001702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ДОГОВОР № ___</w:t>
      </w:r>
    </w:p>
    <w:p w:rsidR="001529CF" w:rsidRPr="000F5D84" w:rsidRDefault="001529CF" w:rsidP="001702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 xml:space="preserve">купли-продажи имущества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1"/>
          <w:szCs w:val="21"/>
        </w:rPr>
      </w:pPr>
      <w:r w:rsidRPr="000F5D84">
        <w:rPr>
          <w:i/>
          <w:iCs/>
          <w:sz w:val="21"/>
          <w:szCs w:val="21"/>
        </w:rPr>
        <w:t>г. Санкт-Петербург</w:t>
      </w:r>
      <w:r w:rsidRPr="000F5D84">
        <w:rPr>
          <w:i/>
          <w:iCs/>
          <w:sz w:val="21"/>
          <w:szCs w:val="21"/>
        </w:rPr>
        <w:tab/>
      </w:r>
      <w:r w:rsidRPr="000F5D84">
        <w:rPr>
          <w:i/>
          <w:iCs/>
          <w:sz w:val="21"/>
          <w:szCs w:val="21"/>
        </w:rPr>
        <w:tab/>
      </w:r>
      <w:r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  <w:t xml:space="preserve">            </w:t>
      </w:r>
      <w:r w:rsidR="00A40341" w:rsidRPr="000F5D84">
        <w:rPr>
          <w:i/>
          <w:iCs/>
          <w:sz w:val="21"/>
          <w:szCs w:val="21"/>
        </w:rPr>
        <w:t>«____»</w:t>
      </w:r>
      <w:r w:rsidR="00A82E9E" w:rsidRPr="000F5D84">
        <w:rPr>
          <w:i/>
          <w:iCs/>
          <w:sz w:val="21"/>
          <w:szCs w:val="21"/>
        </w:rPr>
        <w:t xml:space="preserve">    ______  2016 </w:t>
      </w:r>
      <w:r w:rsidRPr="000F5D84">
        <w:rPr>
          <w:i/>
          <w:iCs/>
          <w:sz w:val="21"/>
          <w:szCs w:val="21"/>
        </w:rPr>
        <w:t>г.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0F5D84" w:rsidP="00A40341">
      <w:pPr>
        <w:ind w:firstLine="567"/>
        <w:jc w:val="both"/>
        <w:rPr>
          <w:sz w:val="21"/>
          <w:szCs w:val="21"/>
        </w:rPr>
      </w:pPr>
      <w:proofErr w:type="gramStart"/>
      <w:r w:rsidRPr="000F5D84">
        <w:rPr>
          <w:sz w:val="21"/>
          <w:szCs w:val="21"/>
        </w:rPr>
        <w:t>ООО «Абсолют-Строй» (ОГРН 1078383000233, ИНН 2983005711; 166700, Ненецкий автономный округ, р-н Заполярный, рп.</w:t>
      </w:r>
      <w:proofErr w:type="gramEnd"/>
      <w:r w:rsidRPr="000F5D84">
        <w:rPr>
          <w:sz w:val="21"/>
          <w:szCs w:val="21"/>
        </w:rPr>
        <w:t xml:space="preserve"> </w:t>
      </w:r>
      <w:proofErr w:type="gramStart"/>
      <w:r w:rsidRPr="000F5D84">
        <w:rPr>
          <w:sz w:val="21"/>
          <w:szCs w:val="21"/>
        </w:rPr>
        <w:t xml:space="preserve">Искателей, ул. Губкина, дом 5, корп. В) </w:t>
      </w:r>
      <w:r w:rsidR="00A40341" w:rsidRPr="000F5D84">
        <w:rPr>
          <w:sz w:val="21"/>
          <w:szCs w:val="21"/>
        </w:rPr>
        <w:t xml:space="preserve">в лице конкурсного управяющего Ходько Никиты Юрьевича (ИНН 420540434197, СНИЛС 121-996-464-82), члена ААУ «Сибирский центр экспертов антикризисного управления» (630132, г. Новосибирск, ул.Советская, 77«В» ИНН 5406245522 ОГРН 1035402470036), действующий на основании </w:t>
      </w:r>
      <w:r w:rsidRPr="000F5D84">
        <w:rPr>
          <w:sz w:val="21"/>
          <w:szCs w:val="21"/>
        </w:rPr>
        <w:t>действующий на основании Решения Арбитражного суда Архангельской области от 28.12.2016г. по делу А05-6666/2016</w:t>
      </w:r>
      <w:r w:rsidR="00A40341" w:rsidRPr="000F5D84">
        <w:rPr>
          <w:sz w:val="21"/>
          <w:szCs w:val="21"/>
        </w:rPr>
        <w:t xml:space="preserve">, далее именуемое «Продавец», </w:t>
      </w:r>
      <w:r w:rsidR="001529CF" w:rsidRPr="000F5D84">
        <w:rPr>
          <w:sz w:val="21"/>
          <w:szCs w:val="21"/>
        </w:rPr>
        <w:t>с одной стороны</w:t>
      </w:r>
      <w:proofErr w:type="gramEnd"/>
      <w:r w:rsidR="001529CF" w:rsidRPr="000F5D84">
        <w:rPr>
          <w:sz w:val="21"/>
          <w:szCs w:val="21"/>
        </w:rPr>
        <w:t>, и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b/>
          <w:bCs/>
          <w:sz w:val="21"/>
          <w:szCs w:val="21"/>
        </w:rPr>
        <w:t xml:space="preserve">      _________________________________________________________________________________</w:t>
      </w:r>
      <w:r w:rsidRPr="000F5D84">
        <w:rPr>
          <w:sz w:val="21"/>
          <w:szCs w:val="21"/>
        </w:rPr>
        <w:t xml:space="preserve">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заключили настоящий Договор купли-продажи (далее – «Договор») о нижеследующем: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                                                </w:t>
      </w:r>
      <w:r w:rsidRPr="000F5D84">
        <w:rPr>
          <w:b/>
          <w:bCs/>
          <w:sz w:val="21"/>
          <w:szCs w:val="21"/>
        </w:rPr>
        <w:t>1. Предмет Договора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п.1.2. Договора, принадлежащее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1529CF" w:rsidRPr="000F5D84" w:rsidRDefault="001529CF" w:rsidP="001702A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Под Объектом в настоящем Договоре Стороны понимают следующие объекты, принадлежащие </w:t>
      </w:r>
      <w:r w:rsidR="000F5D84" w:rsidRPr="000F5D84">
        <w:rPr>
          <w:sz w:val="21"/>
          <w:szCs w:val="21"/>
        </w:rPr>
        <w:t xml:space="preserve">ООО «Абсолют-Строй» </w:t>
      </w:r>
      <w:r w:rsidRPr="000F5D84">
        <w:rPr>
          <w:sz w:val="21"/>
          <w:szCs w:val="21"/>
        </w:rPr>
        <w:t>на праве собственности:</w:t>
      </w:r>
    </w:p>
    <w:p w:rsidR="001529CF" w:rsidRPr="000F5D84" w:rsidRDefault="000F5D84" w:rsidP="000F5D84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proofErr w:type="gramStart"/>
      <w:r w:rsidRPr="000F5D84">
        <w:rPr>
          <w:sz w:val="21"/>
          <w:szCs w:val="21"/>
        </w:rPr>
        <w:t>Магазин-салон сотовой связи; назначение:магазин, площадь 514,5 кв.м; инвентарный номер: 11:111:002:000027210; литер.А, этажность:2, цокольный, адрес:</w:t>
      </w:r>
      <w:proofErr w:type="gramEnd"/>
      <w:r w:rsidRPr="000F5D84">
        <w:rPr>
          <w:sz w:val="21"/>
          <w:szCs w:val="21"/>
        </w:rPr>
        <w:t xml:space="preserve"> НАО, пос. Искателей, ул. Губкина, д.5В. 2. Земельный участок (право аренды), площадью 500 кв.м с разрешенным использованием под магазин-салон сотовой связи, расположенный по адресу: Ненецкий автономный округ, пос. Искателей, ул. Губкина, д.5В</w:t>
      </w:r>
      <w:r w:rsidR="001529CF" w:rsidRPr="000F5D84">
        <w:rPr>
          <w:sz w:val="21"/>
          <w:szCs w:val="21"/>
        </w:rPr>
        <w:t xml:space="preserve">1.4. Указанный в п. 1.2. настоящего Договора Объект Покупатель приобретает по итогам </w:t>
      </w:r>
      <w:r w:rsidR="00A40341" w:rsidRPr="000F5D84">
        <w:rPr>
          <w:sz w:val="21"/>
          <w:szCs w:val="21"/>
        </w:rPr>
        <w:t>торгов</w:t>
      </w:r>
      <w:r w:rsidR="003E38FE" w:rsidRPr="000F5D84">
        <w:rPr>
          <w:sz w:val="21"/>
          <w:szCs w:val="21"/>
        </w:rPr>
        <w:t xml:space="preserve"> </w:t>
      </w:r>
      <w:r w:rsidR="00352654" w:rsidRPr="000F5D84">
        <w:rPr>
          <w:sz w:val="21"/>
          <w:szCs w:val="21"/>
        </w:rPr>
        <w:t xml:space="preserve">в форме публичного предложения </w:t>
      </w:r>
      <w:r w:rsidR="001529CF" w:rsidRPr="000F5D84">
        <w:rPr>
          <w:sz w:val="21"/>
          <w:szCs w:val="21"/>
        </w:rPr>
        <w:t xml:space="preserve">в рамках конкурсного производства </w:t>
      </w:r>
      <w:r w:rsidRPr="000F5D84">
        <w:rPr>
          <w:sz w:val="21"/>
          <w:szCs w:val="21"/>
        </w:rPr>
        <w:t>ООО «Абсолют-Строй»</w:t>
      </w:r>
      <w:r w:rsidR="001529CF" w:rsidRPr="000F5D84">
        <w:rPr>
          <w:sz w:val="21"/>
          <w:szCs w:val="21"/>
        </w:rPr>
        <w:t xml:space="preserve">, согласно Протокола о результатах торгов по лоту  № ___ от _____________ года.  </w:t>
      </w:r>
    </w:p>
    <w:p w:rsidR="001529CF" w:rsidRPr="000F5D84" w:rsidRDefault="001529CF" w:rsidP="00A4034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1"/>
          <w:szCs w:val="21"/>
        </w:rPr>
      </w:pPr>
    </w:p>
    <w:p w:rsidR="001529CF" w:rsidRPr="000F5D84" w:rsidRDefault="001529CF" w:rsidP="00A4034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2. Права и обязанности Сторон.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1"/>
          <w:szCs w:val="21"/>
        </w:rPr>
      </w:pPr>
      <w:r w:rsidRPr="000F5D84">
        <w:rPr>
          <w:sz w:val="21"/>
          <w:szCs w:val="21"/>
        </w:rPr>
        <w:t xml:space="preserve">2.1. </w:t>
      </w:r>
      <w:r w:rsidRPr="000F5D84">
        <w:rPr>
          <w:b/>
          <w:bCs/>
          <w:sz w:val="21"/>
          <w:szCs w:val="21"/>
        </w:rPr>
        <w:t>Покупатель обязан: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 w:rsidRPr="000F5D84">
        <w:rPr>
          <w:noProof w:val="0"/>
          <w:sz w:val="21"/>
          <w:szCs w:val="21"/>
        </w:rPr>
        <w:t xml:space="preserve"> </w:t>
      </w:r>
      <w:r w:rsidRPr="000F5D84">
        <w:rPr>
          <w:sz w:val="21"/>
          <w:szCs w:val="21"/>
        </w:rPr>
        <w:t>Датой оплаты является дата поступления денежных средств на счет Продавца.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2.1.3. Вывезти объект за свой счет и своим силами в течение 10 (десяти) рабочих дней после полной оплаты предмета торгов.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1"/>
          <w:szCs w:val="21"/>
        </w:rPr>
      </w:pPr>
      <w:r w:rsidRPr="000F5D84">
        <w:rPr>
          <w:sz w:val="21"/>
          <w:szCs w:val="21"/>
        </w:rPr>
        <w:t>2.2.</w:t>
      </w:r>
      <w:r w:rsidRPr="000F5D84">
        <w:rPr>
          <w:b/>
          <w:bCs/>
          <w:sz w:val="21"/>
          <w:szCs w:val="21"/>
        </w:rPr>
        <w:t xml:space="preserve"> Продавец обязан: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2.2.5. Передать Объект Покупателю по Акту приема-передачи в течение 10 (десяти) рабочих дней после полной оплаты предмета торгов.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lastRenderedPageBreak/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3. Цена и порядок расчетов.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3.1. Цена продажи Объекта в соответствии с протоколом об итогах торгов от ______________ года составляет ___________  (______________</w:t>
      </w:r>
      <w:r w:rsidR="00A82E9E" w:rsidRPr="000F5D84">
        <w:rPr>
          <w:sz w:val="21"/>
          <w:szCs w:val="21"/>
        </w:rPr>
        <w:t>_______________________) рублей.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3.2. Внесенный Покупателем на расчетный счет </w:t>
      </w:r>
      <w:r w:rsidR="000F5D84" w:rsidRPr="000F5D84">
        <w:rPr>
          <w:sz w:val="21"/>
          <w:szCs w:val="21"/>
        </w:rPr>
        <w:t xml:space="preserve">ООО «Абсолют-Строй» </w:t>
      </w:r>
      <w:r w:rsidRPr="000F5D84">
        <w:rPr>
          <w:sz w:val="21"/>
          <w:szCs w:val="21"/>
        </w:rPr>
        <w:t xml:space="preserve">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 w:rsidR="00A82E9E" w:rsidRPr="000F5D84">
        <w:rPr>
          <w:sz w:val="21"/>
          <w:szCs w:val="21"/>
        </w:rPr>
        <w:t xml:space="preserve">______________________) рублей </w:t>
      </w:r>
      <w:r w:rsidRPr="000F5D84">
        <w:rPr>
          <w:sz w:val="21"/>
          <w:szCs w:val="21"/>
        </w:rPr>
        <w:t xml:space="preserve">путем перечисления денежных средств на счет Продавца, указанный в настоящем Договоре. </w:t>
      </w:r>
    </w:p>
    <w:p w:rsidR="001529CF" w:rsidRPr="000F5D84" w:rsidRDefault="001529CF" w:rsidP="001702AA">
      <w:pPr>
        <w:pStyle w:val="1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1529CF" w:rsidRPr="000F5D84" w:rsidRDefault="001529CF" w:rsidP="001702AA">
      <w:pPr>
        <w:pStyle w:val="1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4. Ответственность Сторон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5. Порядок и разрешение споров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b/>
          <w:bCs/>
          <w:cap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6. Заключительные положения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1529CF" w:rsidRPr="000F5D84" w:rsidRDefault="001529CF" w:rsidP="00A4034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6.4. Настоящий Договор составлен в 2 экземплярах,</w:t>
      </w:r>
      <w:r w:rsidRPr="000F5D84">
        <w:rPr>
          <w:b/>
          <w:bCs/>
          <w:sz w:val="21"/>
          <w:szCs w:val="21"/>
        </w:rPr>
        <w:t xml:space="preserve"> </w:t>
      </w:r>
      <w:r w:rsidRPr="000F5D84">
        <w:rPr>
          <w:sz w:val="21"/>
          <w:szCs w:val="21"/>
        </w:rPr>
        <w:t>имеющих равную</w:t>
      </w:r>
      <w:r w:rsidRPr="000F5D84">
        <w:rPr>
          <w:b/>
          <w:bCs/>
          <w:sz w:val="21"/>
          <w:szCs w:val="21"/>
        </w:rPr>
        <w:t xml:space="preserve"> </w:t>
      </w:r>
      <w:r w:rsidRPr="000F5D84">
        <w:rPr>
          <w:sz w:val="21"/>
          <w:szCs w:val="21"/>
        </w:rPr>
        <w:t>юридическую силу. Договор составлен на 3</w:t>
      </w:r>
      <w:r w:rsidRPr="000F5D84">
        <w:rPr>
          <w:b/>
          <w:bCs/>
          <w:sz w:val="21"/>
          <w:szCs w:val="21"/>
        </w:rPr>
        <w:t xml:space="preserve"> </w:t>
      </w:r>
      <w:r w:rsidRPr="000F5D84">
        <w:rPr>
          <w:sz w:val="21"/>
          <w:szCs w:val="21"/>
        </w:rPr>
        <w:t xml:space="preserve">листах.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7. Адреса и платежные реквизиты сторон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529CF" w:rsidRPr="000F5D84">
        <w:tc>
          <w:tcPr>
            <w:tcW w:w="4968" w:type="dxa"/>
          </w:tcPr>
          <w:p w:rsidR="001529CF" w:rsidRPr="000F5D84" w:rsidRDefault="001529CF" w:rsidP="00A40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</w:tcPr>
          <w:p w:rsidR="001529CF" w:rsidRPr="000F5D84" w:rsidRDefault="001529CF" w:rsidP="0044797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:rsidR="00A40341" w:rsidRPr="000F5D84" w:rsidRDefault="00A40341" w:rsidP="00A40341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0F5D8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Продавец:                                          </w:t>
      </w:r>
      <w:r w:rsidRPr="000F5D84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  <w:t xml:space="preserve">      </w:t>
      </w:r>
      <w:r w:rsidRPr="000F5D84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  <w:t xml:space="preserve">                    Покупатель: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ООО «Абсолют-Строй» 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(ОГРН 1078383000233, ИНН 2983005711;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166700, Ненецкий автономный округ, р-н Заполярный,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>рп. Искателей, ул. Губкина, дом 5, корп. В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Банковские реквизиты: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получатель - ООО «Абсолют-Строй» 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р/с №40702810755040007145, БИК 044030653,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к/сч №30101810500000000653,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Доп.офис №9055/01103 Северо-Западный </w:t>
      </w:r>
      <w:bookmarkStart w:id="0" w:name="_GoBack"/>
      <w:bookmarkEnd w:id="0"/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>Банк ПАО Сбербанк</w:t>
      </w:r>
    </w:p>
    <w:p w:rsidR="00A40341" w:rsidRPr="000F5D84" w:rsidRDefault="00A40341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1"/>
          <w:szCs w:val="21"/>
        </w:rPr>
      </w:pPr>
    </w:p>
    <w:p w:rsidR="00A40341" w:rsidRPr="000F5D84" w:rsidRDefault="00A40341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1"/>
          <w:szCs w:val="21"/>
        </w:rPr>
      </w:pPr>
      <w:r w:rsidRPr="000F5D84">
        <w:rPr>
          <w:sz w:val="21"/>
          <w:szCs w:val="21"/>
        </w:rPr>
        <w:t>_________________________Ходько Н.Ю.</w:t>
      </w:r>
    </w:p>
    <w:sectPr w:rsidR="00A40341" w:rsidRPr="000F5D84" w:rsidSect="00457835">
      <w:footerReference w:type="default" r:id="rId8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54" w:rsidRDefault="00405254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405254" w:rsidRDefault="00405254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CF" w:rsidRDefault="00723CA5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>
      <w:instrText xml:space="preserve">PAGE  </w:instrText>
    </w:r>
    <w:r>
      <w:fldChar w:fldCharType="separate"/>
    </w:r>
    <w:r w:rsidR="000F5D84">
      <w:t>1</w:t>
    </w:r>
    <w:r>
      <w:fldChar w:fldCharType="end"/>
    </w:r>
  </w:p>
  <w:p w:rsidR="001529CF" w:rsidRDefault="001529C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54" w:rsidRDefault="00405254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405254" w:rsidRDefault="00405254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A"/>
    <w:rsid w:val="00061ADB"/>
    <w:rsid w:val="00065AB8"/>
    <w:rsid w:val="00097D28"/>
    <w:rsid w:val="000F5D84"/>
    <w:rsid w:val="001529CF"/>
    <w:rsid w:val="00152FA8"/>
    <w:rsid w:val="001702AA"/>
    <w:rsid w:val="001A3E8C"/>
    <w:rsid w:val="001C2593"/>
    <w:rsid w:val="001D0794"/>
    <w:rsid w:val="001E5D03"/>
    <w:rsid w:val="002547FA"/>
    <w:rsid w:val="002C5CDD"/>
    <w:rsid w:val="00352654"/>
    <w:rsid w:val="003C0A3D"/>
    <w:rsid w:val="003C7A94"/>
    <w:rsid w:val="003D571D"/>
    <w:rsid w:val="003D5AD9"/>
    <w:rsid w:val="003E38FE"/>
    <w:rsid w:val="004031B9"/>
    <w:rsid w:val="00405254"/>
    <w:rsid w:val="00432175"/>
    <w:rsid w:val="00440D5E"/>
    <w:rsid w:val="0044797A"/>
    <w:rsid w:val="00457835"/>
    <w:rsid w:val="004B7F11"/>
    <w:rsid w:val="004D36DB"/>
    <w:rsid w:val="0051488F"/>
    <w:rsid w:val="00581547"/>
    <w:rsid w:val="005A1269"/>
    <w:rsid w:val="0070537C"/>
    <w:rsid w:val="007147DF"/>
    <w:rsid w:val="00723CA5"/>
    <w:rsid w:val="007339EA"/>
    <w:rsid w:val="007669FB"/>
    <w:rsid w:val="00884B1F"/>
    <w:rsid w:val="00897DAD"/>
    <w:rsid w:val="00902FDF"/>
    <w:rsid w:val="00943AD3"/>
    <w:rsid w:val="00995835"/>
    <w:rsid w:val="009B1066"/>
    <w:rsid w:val="00A40341"/>
    <w:rsid w:val="00A531C3"/>
    <w:rsid w:val="00A82E9E"/>
    <w:rsid w:val="00AC4C71"/>
    <w:rsid w:val="00AD6D1C"/>
    <w:rsid w:val="00AE4515"/>
    <w:rsid w:val="00B46E7A"/>
    <w:rsid w:val="00B92CDD"/>
    <w:rsid w:val="00BB069B"/>
    <w:rsid w:val="00BD5D53"/>
    <w:rsid w:val="00D03FC9"/>
    <w:rsid w:val="00D11195"/>
    <w:rsid w:val="00DE6EE9"/>
    <w:rsid w:val="00E30392"/>
    <w:rsid w:val="00E62F31"/>
    <w:rsid w:val="00E901D1"/>
    <w:rsid w:val="00FD728A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paragraph" w:styleId="a3">
    <w:name w:val="Title"/>
    <w:basedOn w:val="a"/>
    <w:link w:val="a4"/>
    <w:uiPriority w:val="99"/>
    <w:qFormat/>
    <w:rsid w:val="001702AA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702AA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FR4">
    <w:name w:val="FR4"/>
    <w:uiPriority w:val="99"/>
    <w:rsid w:val="001702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12" w:lineRule="auto"/>
      <w:ind w:firstLine="720"/>
      <w:jc w:val="both"/>
    </w:pPr>
    <w:rPr>
      <w:rFonts w:ascii="Arial" w:hAnsi="Arial" w:cs="Arial"/>
      <w:noProof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0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02AA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rsid w:val="00A40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paragraph" w:styleId="a3">
    <w:name w:val="Title"/>
    <w:basedOn w:val="a"/>
    <w:link w:val="a4"/>
    <w:uiPriority w:val="99"/>
    <w:qFormat/>
    <w:rsid w:val="001702AA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702AA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FR4">
    <w:name w:val="FR4"/>
    <w:uiPriority w:val="99"/>
    <w:rsid w:val="001702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12" w:lineRule="auto"/>
      <w:ind w:firstLine="720"/>
      <w:jc w:val="both"/>
    </w:pPr>
    <w:rPr>
      <w:rFonts w:ascii="Arial" w:hAnsi="Arial" w:cs="Arial"/>
      <w:noProof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0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02AA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rsid w:val="00A40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Zverdvd.org</cp:lastModifiedBy>
  <cp:revision>2</cp:revision>
  <dcterms:created xsi:type="dcterms:W3CDTF">2017-09-26T10:44:00Z</dcterms:created>
  <dcterms:modified xsi:type="dcterms:W3CDTF">2017-09-26T10:44:00Z</dcterms:modified>
</cp:coreProperties>
</file>