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5272A7">
        <w:t xml:space="preserve"> определения Арбитражного суда Свердловской области </w:t>
      </w:r>
      <w:r w:rsidR="00631093">
        <w:t xml:space="preserve">от 26 сентября 2017 г. </w:t>
      </w:r>
      <w:r w:rsidR="005272A7">
        <w:t>по делу № А60-31564/2016</w:t>
      </w:r>
      <w:r w:rsidR="00D211AC" w:rsidRPr="00D211AC">
        <w:t xml:space="preserve">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bookmarkStart w:id="0" w:name="_GoBack"/>
      <w:bookmarkEnd w:id="0"/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5272A7">
        <w:rPr>
          <w:color w:val="000000"/>
          <w:sz w:val="24"/>
          <w:szCs w:val="24"/>
        </w:rPr>
        <w:t>МТС-Банк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Default="0098502A" w:rsidP="005272A7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color w:val="FF0000"/>
          <w:sz w:val="24"/>
          <w:szCs w:val="24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272A7"/>
    <w:rsid w:val="00631093"/>
    <w:rsid w:val="006B3AD5"/>
    <w:rsid w:val="00800FEB"/>
    <w:rsid w:val="0080180D"/>
    <w:rsid w:val="0098502A"/>
    <w:rsid w:val="00AB2B74"/>
    <w:rsid w:val="00B26D91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nlacbnrocxsJYmlHYojqnkUaizjpxhAk0ndfzP1Fs34=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KV1/Kp2x8jBJdG6uSpOEl4opLVpH1q/FGjLsu0v61mA=</DigestValue>
    </Reference>
  </SignedInfo>
  <SignatureValue>OZrxwblCKZ2o+0LvSgtIVkPA0+H20K8RMl6m97/NyijrvjC2U90M/9HaNRFE3nxb
qwvszD67JsYV6BbGSDAvWA==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f01BLMlGQPO3NpCx5DDWlf4y3xc=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/9It2PTpd/ANTHv2JbslzNebiKQ=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2017-10-04T05:41:22Z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2017-10-04T05:41:22Z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92AF-9EE0-4898-A679-99EB2FB6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21</cp:revision>
  <cp:lastPrinted>2017-01-12T09:57:00Z</cp:lastPrinted>
  <dcterms:created xsi:type="dcterms:W3CDTF">2014-01-15T09:38:00Z</dcterms:created>
  <dcterms:modified xsi:type="dcterms:W3CDTF">2017-10-02T06:59:00Z</dcterms:modified>
</cp:coreProperties>
</file>