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0C31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0C31">
        <w:rPr>
          <w:rFonts w:ascii="Times New Roman" w:eastAsia="Times New Roman" w:hAnsi="Times New Roman" w:cs="Times New Roman"/>
          <w:b/>
          <w:lang w:eastAsia="ru-RU"/>
        </w:rPr>
        <w:t>уступки права требования (цессии)</w:t>
      </w:r>
    </w:p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C31" w:rsidRPr="00440C31" w:rsidRDefault="00440C31" w:rsidP="00440C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город Санкт-Петербург                                                   </w:t>
      </w:r>
      <w:bookmarkStart w:id="0" w:name="_GoBack"/>
      <w:bookmarkEnd w:id="0"/>
      <w:r w:rsidRPr="00440C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«___» _______</w:t>
      </w:r>
      <w:r w:rsidRPr="00440C3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2017 года</w:t>
      </w:r>
    </w:p>
    <w:p w:rsidR="00440C31" w:rsidRPr="00440C31" w:rsidRDefault="00440C31" w:rsidP="00440C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«САМТРЕСТ-</w:t>
      </w:r>
      <w:proofErr w:type="spellStart"/>
      <w:r w:rsidRPr="00440C3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440C31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440C31">
        <w:rPr>
          <w:rFonts w:ascii="Times New Roman" w:eastAsia="Times New Roman" w:hAnsi="Times New Roman" w:cs="Times New Roman"/>
          <w:lang w:eastAsia="ru-RU"/>
        </w:rPr>
        <w:t>етербург</w:t>
      </w:r>
      <w:proofErr w:type="spellEnd"/>
      <w:r w:rsidRPr="00440C31">
        <w:rPr>
          <w:rFonts w:ascii="Times New Roman" w:eastAsia="Times New Roman" w:hAnsi="Times New Roman" w:cs="Times New Roman"/>
          <w:lang w:eastAsia="ru-RU"/>
        </w:rPr>
        <w:t xml:space="preserve"> (ООО «САМТРЕСТ-</w:t>
      </w:r>
      <w:proofErr w:type="spellStart"/>
      <w:r w:rsidRPr="00440C31">
        <w:rPr>
          <w:rFonts w:ascii="Times New Roman" w:eastAsia="Times New Roman" w:hAnsi="Times New Roman" w:cs="Times New Roman"/>
          <w:lang w:eastAsia="ru-RU"/>
        </w:rPr>
        <w:t>С.Петербург</w:t>
      </w:r>
      <w:proofErr w:type="spellEnd"/>
      <w:r w:rsidRPr="00440C31">
        <w:rPr>
          <w:rFonts w:ascii="Times New Roman" w:eastAsia="Times New Roman" w:hAnsi="Times New Roman" w:cs="Times New Roman"/>
          <w:lang w:eastAsia="ru-RU"/>
        </w:rPr>
        <w:t xml:space="preserve">»), именуемое в дальнейшем «Продавец», ОГРН 1027806872510, ИНН 7813087674, адрес (место нахождения): 193315, г. Санкт-Петербург, ул. Новоселов, д. 49, в лице Конкурсного управляющего </w:t>
      </w:r>
      <w:proofErr w:type="spellStart"/>
      <w:r w:rsidRPr="00440C31">
        <w:rPr>
          <w:rFonts w:ascii="Times New Roman" w:eastAsia="Times New Roman" w:hAnsi="Times New Roman" w:cs="Times New Roman"/>
          <w:lang w:eastAsia="ru-RU"/>
        </w:rPr>
        <w:t>Тарантова</w:t>
      </w:r>
      <w:proofErr w:type="spellEnd"/>
      <w:r w:rsidRPr="00440C31">
        <w:rPr>
          <w:rFonts w:ascii="Times New Roman" w:eastAsia="Times New Roman" w:hAnsi="Times New Roman" w:cs="Times New Roman"/>
          <w:lang w:eastAsia="ru-RU"/>
        </w:rPr>
        <w:t xml:space="preserve"> Александра Юрьевича, действующего на основании Решения Арбитражного суда г. Санкт-Петербурга и Ленинградской области от 03.12.2015 г. по Делу № А56-66970/2015, с одной стороны, и</w:t>
      </w: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__________________________________________ «__________» (_____ «______»), именуемое в дальнейшем «Цессионарий», ИНН _________, КПП _________, зарегистрированное ___________________ ______________ года за основным государственным регистрационным номером _______________, место нахождения: ________________________, в лице Генерального директора ____________________, с другой стороны,</w:t>
      </w: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 именуемые в дальнейшем «Стороны», заключили настоящий Договор уступки права требования (цессии) (далее – «Договор», «настоящий Договор») о нижеследующем:</w:t>
      </w: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Настоящий Договор заключен Сторонами в связи с проведенными посредством публичного предложения торгами в соответствии с пунктом 4 статьи 139 Федерального закона № 127-ФЗ «О несостоятельности (банкротстве)» от 26.10.2002 года, Порядком и условиями проведения торгов по реализации имущества должника – ООО «САМТРЕСТ-</w:t>
      </w:r>
      <w:proofErr w:type="spellStart"/>
      <w:r w:rsidRPr="00440C3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440C31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440C31">
        <w:rPr>
          <w:rFonts w:ascii="Times New Roman" w:eastAsia="Times New Roman" w:hAnsi="Times New Roman" w:cs="Times New Roman"/>
          <w:lang w:eastAsia="ru-RU"/>
        </w:rPr>
        <w:t>етербург</w:t>
      </w:r>
      <w:proofErr w:type="spellEnd"/>
      <w:r w:rsidRPr="00440C31">
        <w:rPr>
          <w:rFonts w:ascii="Times New Roman" w:eastAsia="Times New Roman" w:hAnsi="Times New Roman" w:cs="Times New Roman"/>
          <w:lang w:eastAsia="ru-RU"/>
        </w:rPr>
        <w:t>» (права (требования) к дебиторам, доля в уставном капитале ООО «Новоселов 49»), утвержденным Собранием кредиторов ООО «САМТРЕСТ-</w:t>
      </w:r>
      <w:proofErr w:type="spellStart"/>
      <w:r w:rsidRPr="00440C31">
        <w:rPr>
          <w:rFonts w:ascii="Times New Roman" w:eastAsia="Times New Roman" w:hAnsi="Times New Roman" w:cs="Times New Roman"/>
          <w:lang w:eastAsia="ru-RU"/>
        </w:rPr>
        <w:t>С.Петербург</w:t>
      </w:r>
      <w:proofErr w:type="spellEnd"/>
      <w:r w:rsidRPr="00440C31">
        <w:rPr>
          <w:rFonts w:ascii="Times New Roman" w:eastAsia="Times New Roman" w:hAnsi="Times New Roman" w:cs="Times New Roman"/>
          <w:lang w:eastAsia="ru-RU"/>
        </w:rPr>
        <w:t>» 14 апреля 2017 года.</w:t>
      </w:r>
    </w:p>
    <w:p w:rsidR="00440C31" w:rsidRPr="00440C31" w:rsidRDefault="00440C31" w:rsidP="00440C31">
      <w:pPr>
        <w:tabs>
          <w:tab w:val="left" w:pos="1260"/>
          <w:tab w:val="num" w:pos="75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40C31" w:rsidRPr="00440C31" w:rsidRDefault="00440C31" w:rsidP="00440C3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0C3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440C31" w:rsidRPr="00440C31" w:rsidRDefault="00440C31" w:rsidP="00440C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0C31" w:rsidRPr="00440C31" w:rsidRDefault="00440C31" w:rsidP="00440C31">
      <w:pPr>
        <w:numPr>
          <w:ilvl w:val="1"/>
          <w:numId w:val="1"/>
        </w:numPr>
        <w:tabs>
          <w:tab w:val="num" w:pos="0"/>
          <w:tab w:val="left" w:pos="993"/>
          <w:tab w:val="left" w:pos="108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силу Договора и в соответствии со статьями 382-390 Гражданского кодекса РФ 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Цедент уступает, а Цессионарий принимает в полном объеме следующие </w:t>
      </w:r>
      <w:r w:rsidRPr="0044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(требования) к дебиторам Цедента (далее – </w:t>
      </w:r>
      <w:r w:rsidRPr="0044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«Права (требования)», «требования»</w:t>
      </w:r>
      <w:r w:rsidRPr="0044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406"/>
        <w:gridCol w:w="1216"/>
        <w:gridCol w:w="2420"/>
        <w:gridCol w:w="4190"/>
      </w:tblGrid>
      <w:tr w:rsidR="00440C31" w:rsidRPr="00440C31" w:rsidTr="00884990">
        <w:trPr>
          <w:trHeight w:val="6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15.02.2017г.</w:t>
            </w:r>
          </w:p>
        </w:tc>
      </w:tr>
      <w:tr w:rsidR="00440C31" w:rsidRPr="00440C31" w:rsidTr="00884990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</w:t>
            </w:r>
            <w:proofErr w:type="gramStart"/>
            <w:r w:rsidRPr="0044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7816519241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ПД-006/15 от 17.02.2015г.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52 220 460,47</w:t>
            </w:r>
          </w:p>
        </w:tc>
      </w:tr>
    </w:tbl>
    <w:p w:rsidR="00440C31" w:rsidRPr="00440C31" w:rsidRDefault="00440C31" w:rsidP="00440C31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31" w:rsidRPr="00440C31" w:rsidRDefault="00440C31" w:rsidP="00440C31">
      <w:pPr>
        <w:numPr>
          <w:ilvl w:val="1"/>
          <w:numId w:val="1"/>
        </w:numPr>
        <w:tabs>
          <w:tab w:val="clear" w:pos="1678"/>
          <w:tab w:val="num" w:pos="993"/>
          <w:tab w:val="left" w:pos="1276"/>
          <w:tab w:val="num" w:pos="16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(требования) подтверждаются Договором № ПД-006/15 от 17.02.2015.</w:t>
      </w:r>
    </w:p>
    <w:p w:rsidR="00440C31" w:rsidRPr="00440C31" w:rsidRDefault="00440C31" w:rsidP="00440C31">
      <w:pPr>
        <w:numPr>
          <w:ilvl w:val="1"/>
          <w:numId w:val="2"/>
        </w:numPr>
        <w:tabs>
          <w:tab w:val="left" w:pos="993"/>
          <w:tab w:val="num" w:pos="1620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Цедент гарантирует, что передаваемые по настоящему Договору Права (требования) не переданы ранее Цедентом третьим лицам, не обременены залогом.</w:t>
      </w:r>
    </w:p>
    <w:p w:rsidR="00440C31" w:rsidRPr="00440C31" w:rsidRDefault="00440C31" w:rsidP="00440C31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num" w:pos="1620"/>
        </w:tabs>
        <w:autoSpaceDE w:val="0"/>
        <w:autoSpaceDN w:val="0"/>
        <w:adjustRightInd w:val="0"/>
        <w:spacing w:after="0" w:line="274" w:lineRule="exact"/>
        <w:ind w:left="0" w:right="5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условиями настоящего Договора Права (требования) переходят от Цедента к Цессионарию в том объеме и на тех условиях, которые существуют на момент перехода прав к Цессионарию (в том числе, на условиях сохранения подсудности).</w:t>
      </w:r>
    </w:p>
    <w:p w:rsidR="00440C31" w:rsidRPr="00440C31" w:rsidRDefault="00440C31" w:rsidP="00440C31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num" w:pos="1620"/>
        </w:tabs>
        <w:autoSpaceDE w:val="0"/>
        <w:autoSpaceDN w:val="0"/>
        <w:adjustRightInd w:val="0"/>
        <w:spacing w:after="0" w:line="274" w:lineRule="exact"/>
        <w:ind w:left="0" w:right="5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Цедент не отвечает перед Цессионарием за неисполнение (ненадлежащее исполнение) должниками требований, а также не отвечает, если фактически исполненная сумма требования окажется меньше суммы, указанной в п.1.1. Договора. </w:t>
      </w:r>
    </w:p>
    <w:p w:rsidR="00440C31" w:rsidRPr="00440C31" w:rsidRDefault="00440C31" w:rsidP="00440C31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num" w:pos="1620"/>
        </w:tabs>
        <w:autoSpaceDE w:val="0"/>
        <w:autoSpaceDN w:val="0"/>
        <w:adjustRightInd w:val="0"/>
        <w:spacing w:after="0" w:line="274" w:lineRule="exact"/>
        <w:ind w:left="0" w:right="5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Неисполнение, а равно ненадлежащее исполнение должниками требований не является основанием для расторжения настоящего Договора, а также для изменения его условий.</w:t>
      </w:r>
    </w:p>
    <w:p w:rsidR="00440C31" w:rsidRPr="00440C31" w:rsidRDefault="00440C31" w:rsidP="00440C31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851"/>
          <w:tab w:val="left" w:pos="993"/>
          <w:tab w:val="num" w:pos="1620"/>
        </w:tabs>
        <w:autoSpaceDE w:val="0"/>
        <w:autoSpaceDN w:val="0"/>
        <w:adjustRightInd w:val="0"/>
        <w:spacing w:after="0" w:line="274" w:lineRule="exact"/>
        <w:ind w:left="0" w:right="19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Права (требования), 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указанные в п. 1.1. Договора, 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переходят от Цедента к Цессионарию </w:t>
      </w:r>
      <w:r w:rsidRPr="00440C31">
        <w:rPr>
          <w:rFonts w:ascii="Times New Roman" w:eastAsia="Times New Roman" w:hAnsi="Times New Roman" w:cs="Times New Roman"/>
          <w:lang w:eastAsia="ru-RU"/>
        </w:rPr>
        <w:t>с момента</w:t>
      </w:r>
      <w:r w:rsidRPr="00440C31">
        <w:rPr>
          <w:rFonts w:ascii="Times New Roman" w:eastAsia="Times New Roman" w:hAnsi="Times New Roman" w:cs="Times New Roman"/>
          <w:szCs w:val="20"/>
          <w:lang w:eastAsia="ru-RU"/>
        </w:rPr>
        <w:t xml:space="preserve"> исполнения 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Цессионарием денежных обязательств по полной оплате Цены Прав (требований), указанной в п. 2.1. Договора. </w:t>
      </w:r>
    </w:p>
    <w:p w:rsidR="00440C31" w:rsidRPr="00440C31" w:rsidRDefault="00440C31" w:rsidP="00440C31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  <w:tab w:val="num" w:pos="1620"/>
        </w:tabs>
        <w:autoSpaceDE w:val="0"/>
        <w:autoSpaceDN w:val="0"/>
        <w:adjustRightInd w:val="0"/>
        <w:spacing w:after="0" w:line="274" w:lineRule="exact"/>
        <w:ind w:left="0" w:right="19" w:firstLine="54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 Цедент обязан передать Цессионарию все</w:t>
      </w:r>
      <w:r w:rsidRPr="00440C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документы, удостоверяющие передаваемые по настоящему Договору Права (требования) в срок не позднее 5 (Десяти) дней после полной оплаты по настоящему Договору. </w:t>
      </w:r>
    </w:p>
    <w:p w:rsid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b/>
          <w:color w:val="000000"/>
          <w:lang w:eastAsia="ru-RU"/>
        </w:rPr>
        <w:t>СТОИМОСТЬ И ПОРЯДОК ОПЛАТЫ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1068" w:right="19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proofErr w:type="gramStart"/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уступаемого Права (требования) составляет ________________ (______________) рублей ____копеек (НДС не облагается) (далее – </w:t>
      </w:r>
      <w:r w:rsidRPr="00440C31">
        <w:rPr>
          <w:rFonts w:ascii="Times New Roman" w:eastAsia="Times New Roman" w:hAnsi="Times New Roman" w:cs="Times New Roman"/>
          <w:b/>
          <w:color w:val="000000"/>
          <w:lang w:eastAsia="ru-RU"/>
        </w:rPr>
        <w:t>«Цена Права (требования)»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40C31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440C31" w:rsidRPr="00440C31" w:rsidRDefault="00440C31" w:rsidP="00440C3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2.2. Цена Права (требования) установлена в соответствии </w:t>
      </w:r>
      <w:proofErr w:type="gramStart"/>
      <w:r w:rsidRPr="00440C3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40C31">
        <w:rPr>
          <w:rFonts w:ascii="Times New Roman" w:eastAsia="Times New Roman" w:hAnsi="Times New Roman" w:cs="Times New Roman"/>
          <w:lang w:eastAsia="ru-RU"/>
        </w:rPr>
        <w:t xml:space="preserve"> ________________, является окончательной и изменению не подлежит.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2.3. </w:t>
      </w:r>
      <w:proofErr w:type="gramStart"/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Цессионарий обязуется уплатить Цеденту Цену Права (требования) единовременным платежом в размере, установленном п. 2.1. настоящего Договора, за вычетом уплаченной им в соответствии с Договором о задатке в счет обеспечения оплаты имущества, приобретаемого на торгах от __________ суммы задатка в размере __________ (__________) руб., в течение 30 (Тридцати) календарных дней с момента подписания настоящего Договора путем безналичного перечисления денежных средств на расчетный счет Продавца, указанный</w:t>
      </w:r>
      <w:proofErr w:type="gramEnd"/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Разделе 6 настоящего Договора.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b/>
          <w:color w:val="000000"/>
          <w:lang w:eastAsia="ru-RU"/>
        </w:rPr>
        <w:t>ОБЯЗАННОСТИ СТОРОН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1068" w:right="19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Pr="00440C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 Цедент обязан: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3.1.1. В срок не позднее 5 (Пяти) дней с даты поступления денежных сре</w:t>
      </w:r>
      <w:proofErr w:type="gramStart"/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дств в р</w:t>
      </w:r>
      <w:proofErr w:type="gramEnd"/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азмере, указанном в п. 2.1. настоящего Договора, передать Цессионарию все документы, удостоверяющие Права (требования) к должникам по Акту приема-передачи. 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440C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Цессионарий обязан: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3.2.1. Перечислить денежные средства в размере, указанном в п. 2.1. настоящего Договора в срок не позднее 30 (Тридцати) дней </w:t>
      </w:r>
      <w:proofErr w:type="gramStart"/>
      <w:r w:rsidRPr="00440C31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440C31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3.2.2. Самостоятельно осуществить действия по установлению процессуального правопреемства.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C31" w:rsidRPr="00440C31" w:rsidRDefault="00440C31" w:rsidP="00440C3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0C31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СТОРОН</w:t>
      </w:r>
      <w:r w:rsidRPr="00440C31">
        <w:rPr>
          <w:rFonts w:ascii="Times New Roman" w:eastAsia="Times New Roman" w:hAnsi="Times New Roman" w:cs="Times New Roman"/>
          <w:b/>
          <w:lang w:eastAsia="ru-RU"/>
        </w:rPr>
        <w:t>. ПРЕКРАЩЕНИЕ ДЕЙСТВИЯ ДОГОВОРА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1068" w:right="19"/>
        <w:contextualSpacing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действительность 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уступленного Цессионарию права.</w:t>
      </w:r>
    </w:p>
    <w:p w:rsidR="00440C31" w:rsidRPr="00440C31" w:rsidRDefault="00440C31" w:rsidP="0044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440C31" w:rsidRPr="00440C31" w:rsidRDefault="00440C31" w:rsidP="0044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4.2. За неисполнение, ненадлежащее исполнение, просрочку исполнения Цессионарием обязательства по оплате Цены Права (требования), предусмотренной п. 2.1 Договора, Цессионарий обязуется уплатить Цеденту штрафную неустойку в виде пени в размере 0,1 % (ноль целых одна десятая процента) от суммы задолженности за каждый календарный день просрочки.</w:t>
      </w:r>
    </w:p>
    <w:p w:rsidR="00440C31" w:rsidRPr="00440C31" w:rsidRDefault="00440C31" w:rsidP="0044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4.3.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Разделе 6 настоящего Договора.</w:t>
      </w:r>
    </w:p>
    <w:p w:rsidR="00440C31" w:rsidRPr="00440C31" w:rsidRDefault="00440C31" w:rsidP="0044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C31" w:rsidRPr="00440C31" w:rsidRDefault="00440C31" w:rsidP="00440C3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ЗАКЛЮЧИТЕЛЬНЫЕ ПОЛОЖЕНИЯ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ind w:left="1068" w:right="5"/>
        <w:contextualSpacing/>
        <w:rPr>
          <w:rFonts w:ascii="Times New Roman" w:eastAsia="Times New Roman" w:hAnsi="Times New Roman" w:cs="Times New Roman"/>
          <w:b/>
          <w:color w:val="000000"/>
          <w:spacing w:val="-11"/>
          <w:lang w:eastAsia="ru-RU"/>
        </w:rPr>
      </w:pP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5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5.1. Во всем ином, что не предусмотрено настоящим Договором, Стороны руководствуются </w:t>
      </w: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действующим законодательством Российской Федерации.</w:t>
      </w:r>
    </w:p>
    <w:p w:rsidR="00440C31" w:rsidRPr="00440C31" w:rsidRDefault="00440C31" w:rsidP="00440C3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5.2. Все споры, возникшие из настоящего Договора или в связи с ним, подлежат разрешению в Арбитражном суде города Санкт-Петербурга и Ленинградской области в соответствии с процессуальным правом Российской Федерации.</w:t>
      </w:r>
    </w:p>
    <w:p w:rsidR="00440C31" w:rsidRPr="00440C31" w:rsidRDefault="00440C31" w:rsidP="00440C3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Правовыми нормами, избранными Сторонами как нормы, применимые к существу спора, являются нормы материального права Российской Федерации. При этом Стороны установили, что досудебный порядок урегулирования споров не обязателен.</w:t>
      </w:r>
    </w:p>
    <w:p w:rsidR="00440C31" w:rsidRPr="00440C31" w:rsidRDefault="00440C31" w:rsidP="00440C3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440C31" w:rsidRPr="00440C31" w:rsidRDefault="00440C31" w:rsidP="00440C3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5.5. 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Уведомления и извещения, требования, односторонний отказ от исполнения Договора, а также иные документы, подлежащие передаче одной из Сторон другой Стороне по Договору (далее – </w:t>
      </w:r>
      <w:r w:rsidRPr="00440C31">
        <w:rPr>
          <w:rFonts w:ascii="Times New Roman" w:eastAsia="Times New Roman" w:hAnsi="Times New Roman" w:cs="Times New Roman"/>
          <w:b/>
          <w:lang w:eastAsia="ru-RU"/>
        </w:rPr>
        <w:t>«Уведомления»</w:t>
      </w:r>
      <w:r w:rsidRPr="00440C31">
        <w:rPr>
          <w:rFonts w:ascii="Times New Roman" w:eastAsia="Times New Roman" w:hAnsi="Times New Roman" w:cs="Times New Roman"/>
          <w:lang w:eastAsia="ru-RU"/>
        </w:rPr>
        <w:t xml:space="preserve">), подлежат передаче способом, предусмотренным Договором. </w:t>
      </w:r>
      <w:proofErr w:type="gramStart"/>
      <w:r w:rsidRPr="00440C31">
        <w:rPr>
          <w:rFonts w:ascii="Times New Roman" w:eastAsia="Times New Roman" w:hAnsi="Times New Roman" w:cs="Times New Roman"/>
          <w:lang w:eastAsia="ru-RU"/>
        </w:rPr>
        <w:t>Если способ передачи Уведомлений Договором не установлен, Уведомления могут быть переданы одной Стороной другой Стороне путем их вручения под расписку, посредством направления телеграммы или почтового отправления (по адресам, указанным в Разделе 6 настоящего Договора соответственно, либо иным адресам, которые будут указаны одной Стороной другой Стороне в письменной форме), либо иным способом, дополнительно согласованным Сторонами.</w:t>
      </w:r>
      <w:proofErr w:type="gramEnd"/>
    </w:p>
    <w:p w:rsidR="00440C31" w:rsidRPr="00440C31" w:rsidRDefault="00440C31" w:rsidP="00440C3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 xml:space="preserve">Все Уведомления (и иные юридически значимые сообщения, с которыми закон и/или Договор связывает гражданско-правовые последствия для другой Стороны), влекут гражданско-правовые последствия для лица, которому они направлены (получающей Стороне), с момента доставки соответствующего Уведомления получающей Стороне или ее представителю. </w:t>
      </w:r>
    </w:p>
    <w:p w:rsidR="00440C31" w:rsidRPr="00440C31" w:rsidRDefault="00440C31" w:rsidP="00440C3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0C31">
        <w:rPr>
          <w:rFonts w:ascii="Times New Roman" w:eastAsia="Times New Roman" w:hAnsi="Times New Roman" w:cs="Times New Roman"/>
          <w:lang w:eastAsia="ru-RU"/>
        </w:rPr>
        <w:t>Уведомление и иное юридически значимое сообщение считается доставленным и в тех случаях, если оно поступило лицу, которому оно направлено (получающей Стороне), но по обстоятельствам, зависящим от получающей Стороны, не было ей вручено или получающая Сторона не ознакомилась с ним.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>5.6. Настоящий Договор считается исполненным при выполнении Сторонами взаимных обязательств.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color w:val="000000"/>
          <w:lang w:eastAsia="ru-RU"/>
        </w:rPr>
        <w:t xml:space="preserve">5.7. Настоящий Договор составлен в двух экземплярах, имеющих равную юридическую силу, по одному для каждой из Сторон. 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0C31" w:rsidRPr="00440C31" w:rsidRDefault="00440C31" w:rsidP="00440C3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C31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p w:rsidR="00440C31" w:rsidRPr="00440C31" w:rsidRDefault="00440C31" w:rsidP="00440C3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1068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C31" w:rsidRPr="00440C31" w:rsidRDefault="00440C31" w:rsidP="00440C31">
      <w:pPr>
        <w:keepNext/>
        <w:keepLines/>
        <w:tabs>
          <w:tab w:val="left" w:pos="671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" w:name="bookmark11"/>
      <w:r w:rsidRPr="00440C3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</w:t>
      </w:r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6"/>
        <w:gridCol w:w="5066"/>
      </w:tblGrid>
      <w:tr w:rsidR="00440C31" w:rsidRPr="00440C31" w:rsidTr="00884990">
        <w:trPr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  <w:t>ЦЕДЕНТ:</w:t>
            </w:r>
            <w:r w:rsidRPr="00440C31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«САМТРЕСТ-</w:t>
            </w:r>
            <w:proofErr w:type="spellStart"/>
            <w:r w:rsidRPr="0044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44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44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етербург</w:t>
            </w:r>
            <w:proofErr w:type="spellEnd"/>
            <w:r w:rsidRPr="0044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нахождения): 193315, г. Санкт-Петербург, ул. Новоселов, д. 49.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1027806872510 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7813087674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781101001</w:t>
            </w:r>
          </w:p>
          <w:p w:rsidR="00440C31" w:rsidRPr="00440C31" w:rsidRDefault="00440C31" w:rsidP="0044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С.-Петербург ПАО Банка «ФК Открытие», г. Санкт-Петербург, </w:t>
            </w:r>
          </w:p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30101810200000000720, БИК 044030720.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  <w:t xml:space="preserve">ЦЕССИОНАРИЙ: </w:t>
            </w:r>
          </w:p>
          <w:p w:rsidR="00440C31" w:rsidRPr="00440C31" w:rsidRDefault="00440C31" w:rsidP="004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1" w:rsidRPr="00440C31" w:rsidTr="00884990">
        <w:trPr>
          <w:trHeight w:val="838"/>
          <w:jc w:val="center"/>
        </w:trPr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Конкурсный управляющий</w:t>
            </w:r>
          </w:p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Тарантов</w:t>
            </w:r>
            <w:proofErr w:type="spellEnd"/>
            <w:r w:rsidRPr="004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u w:val="single"/>
                <w:lang w:eastAsia="ru-RU"/>
              </w:rPr>
            </w:pPr>
            <w:r w:rsidRPr="00440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440C31" w:rsidRPr="00440C31" w:rsidRDefault="00440C31" w:rsidP="0044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440C31" w:rsidRPr="00440C31" w:rsidRDefault="00440C31" w:rsidP="00440C3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C31" w:rsidRPr="00440C31" w:rsidRDefault="00440C31" w:rsidP="0044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C31" w:rsidRPr="00440C31" w:rsidRDefault="00440C31" w:rsidP="00440C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37A2" w:rsidRDefault="005F37A2"/>
    <w:sectPr w:rsidR="005F37A2" w:rsidSect="00440C31">
      <w:footerReference w:type="even" r:id="rId6"/>
      <w:footerReference w:type="default" r:id="rId7"/>
      <w:footerReference w:type="first" r:id="rId8"/>
      <w:pgSz w:w="11906" w:h="16838" w:code="9"/>
      <w:pgMar w:top="1134" w:right="74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440C31" w:rsidP="003D5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711" w:rsidRDefault="00440C31" w:rsidP="003D59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Pr="00CE1BE8" w:rsidRDefault="00440C31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1" w:rsidRDefault="00440C3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25711" w:rsidRPr="00CE1BE8" w:rsidRDefault="00440C31" w:rsidP="003E1157">
    <w:pPr>
      <w:pStyle w:val="a3"/>
      <w:tabs>
        <w:tab w:val="clear" w:pos="4677"/>
        <w:tab w:val="clear" w:pos="9355"/>
        <w:tab w:val="center" w:pos="709"/>
      </w:tabs>
      <w:ind w:right="360"/>
      <w:rPr>
        <w:lang w:val="en-US"/>
      </w:rPr>
    </w:pPr>
    <w:r>
      <w:tab/>
    </w:r>
    <w:r>
      <w:rPr>
        <w:sz w:val="18"/>
        <w:lang w:val="en-US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51AE"/>
    <w:multiLevelType w:val="multilevel"/>
    <w:tmpl w:val="9362B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31"/>
    <w:rsid w:val="00440C31"/>
    <w:rsid w:val="005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0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0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2017-10-09T07:53:00Z</dcterms:created>
  <dcterms:modified xsi:type="dcterms:W3CDTF">2017-10-09T07:57:00Z</dcterms:modified>
</cp:coreProperties>
</file>