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</w:r>
      <w:r w:rsidR="00184308" w:rsidRPr="00184308">
        <w:t>Конкурсный управляющий общества с ограниченной ответственностью «Сапфир-Л»  Строганов Сергей Александрович, действующий на основании решения Арбитражного суда Липецкой области по делу № А36-725/2016 от 14.10.2016г. (резолютивная часть от 10.10.16), определения Арбитражного суда Липецкой области по делу № А36-725/2016 от 14.10.2016г. (резолютивная часть от 10.10.16), определения Арбитражного суда Липецкой области по делу № А36-725/2016 от 14.04.2017г.</w:t>
      </w:r>
      <w:r w:rsidRPr="00184308">
        <w:t>,</w:t>
      </w:r>
      <w:r>
        <w:t xml:space="preserve"> </w:t>
      </w:r>
      <w:r w:rsidR="00593155" w:rsidRPr="00184308">
        <w:t>определения Арбитражного суда Липецкой области по делу № А36-725/2016</w:t>
      </w:r>
      <w:r w:rsidR="00593155">
        <w:t>, резолютивная часть которого объявлена 26.10</w:t>
      </w:r>
      <w:r w:rsidR="00593155" w:rsidRPr="00184308">
        <w:t>.2017г.,</w:t>
      </w:r>
      <w:r w:rsidR="00593155">
        <w:t xml:space="preserve"> </w:t>
      </w:r>
      <w:r>
        <w:t>именуем</w:t>
      </w:r>
      <w:r w:rsidR="00184308">
        <w:t>ый</w:t>
      </w:r>
      <w:r>
        <w:t xml:space="preserve"> в дальнейшем «Организатор торгов»</w:t>
      </w:r>
      <w:r w:rsidR="00180722">
        <w:t>,</w:t>
      </w:r>
      <w:r>
        <w:t xml:space="preserve"> с одной стороны, и ______</w:t>
      </w:r>
      <w:r>
        <w:rPr>
          <w:lang w:val="ru-RU"/>
        </w:rPr>
        <w:t xml:space="preserve">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593155" w:rsidRPr="008D435F" w:rsidRDefault="00593155" w:rsidP="00593155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</w:t>
      </w:r>
      <w:r w:rsidRPr="00A43E10">
        <w:rPr>
          <w:color w:val="auto"/>
        </w:rPr>
        <w:t>торгах посредством публичного предложения</w:t>
      </w:r>
      <w:r>
        <w:rPr>
          <w:color w:val="auto"/>
        </w:rPr>
        <w:t xml:space="preserve">, открытых по составу участников и форме предложения цен по продаже имущества, включённого </w:t>
      </w:r>
      <w:r w:rsidRPr="008D435F">
        <w:rPr>
          <w:color w:val="auto"/>
        </w:rPr>
        <w:t xml:space="preserve">в состав конкурсной массы  </w:t>
      </w:r>
      <w:r w:rsidRPr="008D435F">
        <w:rPr>
          <w:b/>
          <w:bCs/>
          <w:color w:val="auto"/>
        </w:rPr>
        <w:t>ООО «</w:t>
      </w:r>
      <w:r>
        <w:rPr>
          <w:b/>
          <w:bCs/>
          <w:color w:val="auto"/>
        </w:rPr>
        <w:t>Сапфир-Л</w:t>
      </w:r>
      <w:r w:rsidRPr="008D435F">
        <w:rPr>
          <w:b/>
          <w:bCs/>
          <w:color w:val="auto"/>
        </w:rPr>
        <w:t xml:space="preserve">» </w:t>
      </w:r>
      <w:r w:rsidRPr="008D435F">
        <w:rPr>
          <w:color w:val="auto"/>
        </w:rPr>
        <w:t xml:space="preserve">(далее - «Имущество»), проводимых   </w:t>
      </w:r>
      <w:r>
        <w:rPr>
          <w:b/>
          <w:bCs/>
          <w:color w:val="auto"/>
        </w:rPr>
        <w:t>с 28 ноября</w:t>
      </w:r>
      <w:r w:rsidRPr="00A43E10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2017г. по 08 января 20</w:t>
      </w:r>
      <w:r w:rsidRPr="00A43E10">
        <w:rPr>
          <w:b/>
          <w:bCs/>
          <w:color w:val="auto"/>
        </w:rPr>
        <w:t>1</w:t>
      </w:r>
      <w:r>
        <w:rPr>
          <w:b/>
          <w:bCs/>
          <w:color w:val="auto"/>
        </w:rPr>
        <w:t>8</w:t>
      </w:r>
      <w:r w:rsidRPr="00A43E10">
        <w:rPr>
          <w:b/>
          <w:bCs/>
          <w:color w:val="auto"/>
        </w:rPr>
        <w:t>г.</w:t>
      </w:r>
      <w:r w:rsidRPr="008D435F">
        <w:rPr>
          <w:b/>
          <w:bCs/>
          <w:color w:val="auto"/>
        </w:rPr>
        <w:t>,</w:t>
      </w:r>
      <w:r w:rsidRPr="008D435F">
        <w:rPr>
          <w:color w:val="auto"/>
        </w:rPr>
        <w:t xml:space="preserve"> перечисляет денежные средства в размере </w:t>
      </w:r>
      <w:r>
        <w:rPr>
          <w:b/>
          <w:color w:val="auto"/>
        </w:rPr>
        <w:t xml:space="preserve"> 2</w:t>
      </w:r>
      <w:r w:rsidRPr="008D435F">
        <w:rPr>
          <w:b/>
          <w:color w:val="auto"/>
        </w:rPr>
        <w:t>0% (</w:t>
      </w:r>
      <w:r>
        <w:rPr>
          <w:b/>
          <w:color w:val="auto"/>
        </w:rPr>
        <w:t>двадцать</w:t>
      </w:r>
      <w:r w:rsidRPr="008D435F">
        <w:rPr>
          <w:b/>
          <w:color w:val="auto"/>
        </w:rPr>
        <w:t xml:space="preserve"> процентов) </w:t>
      </w:r>
      <w:r w:rsidRPr="008D435F">
        <w:rPr>
          <w:color w:val="auto"/>
        </w:rPr>
        <w:t xml:space="preserve">от начальной цены лота </w:t>
      </w:r>
      <w:r>
        <w:rPr>
          <w:color w:val="auto"/>
        </w:rPr>
        <w:t xml:space="preserve">№__ </w:t>
      </w:r>
      <w:r w:rsidRPr="00A43E10">
        <w:rPr>
          <w:color w:val="auto"/>
        </w:rPr>
        <w:t xml:space="preserve">в соответствующем периоде </w:t>
      </w:r>
      <w:r>
        <w:rPr>
          <w:color w:val="auto"/>
        </w:rPr>
        <w:t xml:space="preserve"> </w:t>
      </w:r>
      <w:r w:rsidRPr="008D435F">
        <w:rPr>
          <w:color w:val="auto"/>
        </w:rPr>
        <w:t xml:space="preserve">(состав которого указан в объявлении, опубликованном в газете «Коммерсантъ» </w:t>
      </w:r>
      <w:r w:rsidRPr="00593155">
        <w:rPr>
          <w:color w:val="auto"/>
        </w:rPr>
        <w:t>№202(6196) от 28.10.2017</w:t>
      </w:r>
      <w:r>
        <w:rPr>
          <w:color w:val="auto"/>
        </w:rPr>
        <w:t>г.</w:t>
      </w:r>
      <w:r w:rsidRPr="008D435F">
        <w:rPr>
          <w:color w:val="auto"/>
        </w:rPr>
        <w:t xml:space="preserve">), что составляет </w:t>
      </w:r>
      <w:r>
        <w:rPr>
          <w:b/>
          <w:color w:val="auto"/>
        </w:rPr>
        <w:t xml:space="preserve">_______________ </w:t>
      </w:r>
      <w:r w:rsidRPr="008D435F">
        <w:rPr>
          <w:b/>
          <w:color w:val="auto"/>
        </w:rPr>
        <w:t xml:space="preserve">руб. </w:t>
      </w:r>
      <w:r>
        <w:rPr>
          <w:b/>
          <w:color w:val="auto"/>
        </w:rPr>
        <w:t xml:space="preserve"> __ коп. </w:t>
      </w:r>
      <w:r w:rsidRPr="008D435F">
        <w:rPr>
          <w:color w:val="auto"/>
        </w:rPr>
        <w:t>(дал</w:t>
      </w:r>
      <w:r>
        <w:rPr>
          <w:color w:val="auto"/>
        </w:rPr>
        <w:t xml:space="preserve">ее – «Задаток»), а должник </w:t>
      </w:r>
      <w:r w:rsidRPr="008D435F">
        <w:rPr>
          <w:color w:val="auto"/>
        </w:rPr>
        <w:t xml:space="preserve"> ООО «</w:t>
      </w:r>
      <w:r>
        <w:rPr>
          <w:color w:val="auto"/>
        </w:rPr>
        <w:t>Сапфир-Л</w:t>
      </w:r>
      <w:r w:rsidRPr="008D435F">
        <w:rPr>
          <w:color w:val="auto"/>
        </w:rPr>
        <w:t>»  принимает задаток.</w:t>
      </w:r>
    </w:p>
    <w:p w:rsidR="003B3496" w:rsidRPr="008D435F" w:rsidRDefault="003B3496">
      <w:pPr>
        <w:jc w:val="both"/>
        <w:rPr>
          <w:b/>
          <w:color w:val="auto"/>
        </w:rPr>
      </w:pPr>
      <w:r w:rsidRPr="008D435F">
        <w:rPr>
          <w:b/>
          <w:color w:val="auto"/>
        </w:rPr>
        <w:t xml:space="preserve">1.2. </w:t>
      </w:r>
      <w:r w:rsidRPr="008D435F">
        <w:rPr>
          <w:color w:val="auto"/>
        </w:rPr>
        <w:t xml:space="preserve">Указанный Задаток в размере </w:t>
      </w:r>
      <w:r w:rsidR="00593155">
        <w:rPr>
          <w:b/>
          <w:color w:val="auto"/>
        </w:rPr>
        <w:t>_____________</w:t>
      </w:r>
      <w:r w:rsidR="001A7367" w:rsidRPr="008D435F">
        <w:rPr>
          <w:b/>
          <w:color w:val="auto"/>
        </w:rPr>
        <w:t xml:space="preserve"> рубл</w:t>
      </w:r>
      <w:r w:rsidR="00282870" w:rsidRPr="008D435F">
        <w:rPr>
          <w:b/>
          <w:color w:val="auto"/>
        </w:rPr>
        <w:t xml:space="preserve">ей </w:t>
      </w:r>
      <w:r w:rsidR="00593155">
        <w:rPr>
          <w:b/>
          <w:color w:val="auto"/>
        </w:rPr>
        <w:t>__</w:t>
      </w:r>
      <w:r w:rsidR="001A7367" w:rsidRPr="008D435F">
        <w:rPr>
          <w:b/>
          <w:color w:val="auto"/>
        </w:rPr>
        <w:t xml:space="preserve"> ко</w:t>
      </w:r>
      <w:r w:rsidR="00425772" w:rsidRPr="008D435F">
        <w:rPr>
          <w:b/>
          <w:color w:val="auto"/>
        </w:rPr>
        <w:t xml:space="preserve">пеек </w:t>
      </w:r>
      <w:r w:rsidRPr="008D435F">
        <w:rPr>
          <w:b/>
          <w:bCs/>
          <w:color w:val="auto"/>
        </w:rPr>
        <w:t xml:space="preserve">  </w:t>
      </w:r>
      <w:r w:rsidRPr="008D435F">
        <w:rPr>
          <w:color w:val="auto"/>
        </w:rPr>
        <w:t xml:space="preserve">вносится для участия в торгах в отношении </w:t>
      </w:r>
      <w:r w:rsidR="00282870" w:rsidRPr="008D435F">
        <w:rPr>
          <w:b/>
          <w:color w:val="auto"/>
        </w:rPr>
        <w:t>лота</w:t>
      </w:r>
      <w:r w:rsidR="00593155">
        <w:rPr>
          <w:b/>
          <w:color w:val="auto"/>
        </w:rPr>
        <w:t xml:space="preserve"> №__</w:t>
      </w:r>
      <w:r w:rsidRPr="008D435F">
        <w:rPr>
          <w:b/>
          <w:color w:val="auto"/>
        </w:rPr>
        <w:t>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593155" w:rsidRPr="008D435F" w:rsidRDefault="00593155" w:rsidP="00593155">
      <w:pPr>
        <w:jc w:val="both"/>
        <w:rPr>
          <w:color w:val="auto"/>
        </w:rPr>
      </w:pPr>
      <w:r w:rsidRPr="008D435F">
        <w:rPr>
          <w:b/>
          <w:color w:val="auto"/>
        </w:rPr>
        <w:t>2.1.</w:t>
      </w:r>
      <w:r w:rsidRPr="008D435F">
        <w:rPr>
          <w:color w:val="auto"/>
        </w:rPr>
        <w:t xml:space="preserve"> </w:t>
      </w:r>
      <w:r w:rsidRPr="00A43E10">
        <w:rPr>
          <w:color w:val="auto"/>
        </w:rPr>
        <w:t xml:space="preserve">Задаток должен быть внесен Претендентом на указанные </w:t>
      </w:r>
      <w:r>
        <w:rPr>
          <w:color w:val="auto"/>
        </w:rPr>
        <w:t xml:space="preserve">в сообщении о проведении торгов (объявление </w:t>
      </w:r>
      <w:r w:rsidRPr="00A43E10">
        <w:rPr>
          <w:color w:val="auto"/>
        </w:rPr>
        <w:t xml:space="preserve">в газете «Коммерсантъ» </w:t>
      </w:r>
      <w:r w:rsidRPr="00593155">
        <w:rPr>
          <w:color w:val="auto"/>
        </w:rPr>
        <w:t>№202(6196) от 28.10.2017г.</w:t>
      </w:r>
      <w:r>
        <w:rPr>
          <w:color w:val="auto"/>
        </w:rPr>
        <w:t>) и настоящем договоре</w:t>
      </w:r>
      <w:r w:rsidRPr="00A43E10">
        <w:rPr>
          <w:color w:val="auto"/>
        </w:rPr>
        <w:t xml:space="preserve"> реквизиты к моменту подачи заявки на участие в торгах, и считается внесенным с даты поступления всей суммы Задатка на указанный счет.</w:t>
      </w:r>
      <w:r w:rsidRPr="008D435F">
        <w:rPr>
          <w:color w:val="auto"/>
        </w:rPr>
        <w:t xml:space="preserve">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593155" w:rsidRDefault="00593155" w:rsidP="00593155">
      <w:pPr>
        <w:jc w:val="both"/>
        <w:rPr>
          <w:rFonts w:eastAsia="Arial" w:cs="Arial"/>
          <w:b/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Pr="00B4425A">
        <w:rPr>
          <w:color w:val="auto"/>
        </w:rPr>
        <w:t>получатель ООО «</w:t>
      </w:r>
      <w:r>
        <w:rPr>
          <w:color w:val="auto"/>
        </w:rPr>
        <w:t>Сапфир-Л</w:t>
      </w:r>
      <w:r w:rsidRPr="00B4425A">
        <w:rPr>
          <w:color w:val="auto"/>
        </w:rPr>
        <w:t xml:space="preserve">», </w:t>
      </w:r>
      <w:r w:rsidRPr="00593155">
        <w:rPr>
          <w:color w:val="auto"/>
        </w:rPr>
        <w:t>р/с  40702810835000004864 в  Липецком отделении №8593 ПАО Сбербанк России г. Липецк,  БИК 044206604, к/с 30101810800000000</w:t>
      </w:r>
      <w:r>
        <w:rPr>
          <w:color w:val="auto"/>
        </w:rPr>
        <w:t xml:space="preserve">604, ИНН получателя 4826069405, </w:t>
      </w:r>
      <w:r w:rsidRPr="008D435F">
        <w:rPr>
          <w:color w:val="auto"/>
        </w:rPr>
        <w:t xml:space="preserve">КПП </w:t>
      </w:r>
      <w:r w:rsidRPr="00593155">
        <w:rPr>
          <w:color w:val="auto"/>
        </w:rPr>
        <w:t>482601001</w:t>
      </w:r>
      <w:r w:rsidRPr="008D435F">
        <w:rPr>
          <w:color w:val="auto"/>
        </w:rPr>
        <w:t xml:space="preserve">, </w:t>
      </w:r>
      <w:r w:rsidRPr="008D435F">
        <w:rPr>
          <w:rFonts w:eastAsia="Arial" w:cs="Arial"/>
          <w:b/>
          <w:color w:val="auto"/>
        </w:rPr>
        <w:t xml:space="preserve">назначение платежа: </w:t>
      </w:r>
      <w:r>
        <w:rPr>
          <w:rFonts w:eastAsia="Arial" w:cs="Arial"/>
          <w:b/>
          <w:color w:val="auto"/>
        </w:rPr>
        <w:t>перечисление задатка на участие в торгах в периоде №__  по продаже имущества ООО «Сапфир-Л»</w:t>
      </w:r>
      <w:r w:rsidRPr="008874A4">
        <w:rPr>
          <w:rFonts w:eastAsia="Arial" w:cs="Arial"/>
          <w:b/>
          <w:color w:val="auto"/>
        </w:rPr>
        <w:t xml:space="preserve"> </w:t>
      </w:r>
      <w:r>
        <w:rPr>
          <w:rFonts w:eastAsia="Arial" w:cs="Arial"/>
          <w:b/>
          <w:color w:val="auto"/>
        </w:rPr>
        <w:t>в отношении лота №__.</w:t>
      </w:r>
    </w:p>
    <w:p w:rsidR="003B3496" w:rsidRPr="008D435F" w:rsidRDefault="003B3496">
      <w:pPr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lastRenderedPageBreak/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2E1048" w:rsidRPr="008D435F">
        <w:rPr>
          <w:color w:val="auto"/>
        </w:rPr>
        <w:t xml:space="preserve"> (за исключением  случая, указанного в абз. 2 п. 17 ст. 110 ФЗ «О несостоятельности (банкротстве)»)</w:t>
      </w:r>
      <w:r w:rsidRPr="008D435F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8D435F">
        <w:rPr>
          <w:color w:val="auto"/>
        </w:rPr>
        <w:t xml:space="preserve"> </w:t>
      </w:r>
      <w:r w:rsidRPr="008D435F">
        <w:rPr>
          <w:color w:val="auto"/>
        </w:rPr>
        <w:t xml:space="preserve">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  <w:r w:rsidRPr="00755164">
        <w:rPr>
          <w:color w:val="auto"/>
        </w:rPr>
        <w:t xml:space="preserve"> 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127D26" w:rsidRPr="00127D26" w:rsidRDefault="00127D26" w:rsidP="00127D26">
                  <w:pPr>
                    <w:snapToGrid w:val="0"/>
                    <w:rPr>
                      <w:b/>
                    </w:rPr>
                  </w:pPr>
                  <w:r w:rsidRPr="00127D26">
                    <w:rPr>
                      <w:b/>
                    </w:rPr>
                    <w:t>ООО «Сапфир-Л»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>Юридический адрес: 398902, Липецкая область, г. Липецк, ул. Юношеская,  д.50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 xml:space="preserve">Почтовый адрес: 398059, г. Липецк, пл. Коммунальная, 9а, офис 507 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>ОГРН: 1094823012899</w:t>
                  </w:r>
                </w:p>
                <w:p w:rsidR="00127D26" w:rsidRPr="00127D26" w:rsidRDefault="00127D26" w:rsidP="00127D26">
                  <w:pPr>
                    <w:snapToGrid w:val="0"/>
                  </w:pPr>
                  <w:r w:rsidRPr="00127D26">
                    <w:t>ИНН:  4826069405</w:t>
                  </w:r>
                </w:p>
                <w:p w:rsidR="00127D26" w:rsidRDefault="00127D26" w:rsidP="00127D26">
                  <w:pPr>
                    <w:snapToGrid w:val="0"/>
                  </w:pPr>
                </w:p>
                <w:p w:rsidR="00127D26" w:rsidRDefault="00127D26" w:rsidP="00127D26">
                  <w:pPr>
                    <w:snapToGrid w:val="0"/>
                  </w:pPr>
                </w:p>
                <w:p w:rsidR="00127D26" w:rsidRDefault="00127D26" w:rsidP="00127D26">
                  <w:pPr>
                    <w:snapToGrid w:val="0"/>
                  </w:pPr>
                </w:p>
                <w:p w:rsidR="00127D26" w:rsidRPr="00127D26" w:rsidRDefault="00127D26" w:rsidP="00127D26">
                  <w:pPr>
                    <w:snapToGrid w:val="0"/>
                  </w:pPr>
                </w:p>
                <w:p w:rsidR="00127D26" w:rsidRPr="00127D26" w:rsidRDefault="00127D26" w:rsidP="00127D26">
                  <w:pPr>
                    <w:snapToGrid w:val="0"/>
                    <w:rPr>
                      <w:b/>
                    </w:rPr>
                  </w:pPr>
                  <w:r w:rsidRPr="00127D26">
                    <w:rPr>
                      <w:b/>
                    </w:rPr>
                    <w:t>Конкурсный управляющий</w:t>
                  </w:r>
                </w:p>
                <w:p w:rsidR="00127D26" w:rsidRPr="00127D26" w:rsidRDefault="00127D26" w:rsidP="00127D26">
                  <w:pPr>
                    <w:snapToGrid w:val="0"/>
                    <w:rPr>
                      <w:b/>
                    </w:rPr>
                  </w:pPr>
                </w:p>
                <w:p w:rsidR="00AB6C1F" w:rsidRDefault="00127D26" w:rsidP="00127D26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 w:rsidRPr="00127D26">
                    <w:rPr>
                      <w:b/>
                    </w:rPr>
                    <w:t>_____________________</w:t>
                  </w:r>
                  <w:r>
                    <w:rPr>
                      <w:b/>
                    </w:rPr>
                    <w:t>/</w:t>
                  </w:r>
                  <w:r w:rsidRPr="00127D26">
                    <w:rPr>
                      <w:b/>
                    </w:rPr>
                    <w:t>С.А. Строганов</w:t>
                  </w:r>
                  <w:r>
                    <w:rPr>
                      <w:b/>
                    </w:rPr>
                    <w:t>/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  <w:tr w:rsidR="003B3496" w:rsidTr="00AB6C1F">
        <w:trPr>
          <w:trHeight w:val="778"/>
        </w:trPr>
        <w:tc>
          <w:tcPr>
            <w:tcW w:w="4896" w:type="dxa"/>
            <w:shd w:val="clear" w:color="auto" w:fill="auto"/>
          </w:tcPr>
          <w:p w:rsidR="003B3496" w:rsidRDefault="003B3496">
            <w:pPr>
              <w:snapToGrid w:val="0"/>
              <w:jc w:val="both"/>
            </w:pPr>
          </w:p>
        </w:tc>
        <w:tc>
          <w:tcPr>
            <w:tcW w:w="5516" w:type="dxa"/>
            <w:shd w:val="clear" w:color="auto" w:fill="auto"/>
          </w:tcPr>
          <w:p w:rsidR="003B3496" w:rsidRDefault="003B3496">
            <w:pPr>
              <w:snapToGrid w:val="0"/>
              <w:rPr>
                <w:b/>
                <w:shd w:val="clear" w:color="auto" w:fill="00FF00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BB" w:rsidRDefault="00D602BB">
      <w:r>
        <w:separator/>
      </w:r>
    </w:p>
  </w:endnote>
  <w:endnote w:type="continuationSeparator" w:id="1">
    <w:p w:rsidR="00D602BB" w:rsidRDefault="00D6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3B3496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3B3496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0012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BB" w:rsidRDefault="00D602BB">
      <w:r>
        <w:separator/>
      </w:r>
    </w:p>
  </w:footnote>
  <w:footnote w:type="continuationSeparator" w:id="1">
    <w:p w:rsidR="00D602BB" w:rsidRDefault="00D60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27D26"/>
    <w:rsid w:val="00180722"/>
    <w:rsid w:val="00184308"/>
    <w:rsid w:val="001A7367"/>
    <w:rsid w:val="00200374"/>
    <w:rsid w:val="00282870"/>
    <w:rsid w:val="002930F9"/>
    <w:rsid w:val="002E1048"/>
    <w:rsid w:val="003B3496"/>
    <w:rsid w:val="0042197C"/>
    <w:rsid w:val="00425772"/>
    <w:rsid w:val="00494F93"/>
    <w:rsid w:val="004A1056"/>
    <w:rsid w:val="005236B6"/>
    <w:rsid w:val="00555AD1"/>
    <w:rsid w:val="00593155"/>
    <w:rsid w:val="005A0312"/>
    <w:rsid w:val="005A3135"/>
    <w:rsid w:val="00600121"/>
    <w:rsid w:val="006553FB"/>
    <w:rsid w:val="006E63A4"/>
    <w:rsid w:val="007455FB"/>
    <w:rsid w:val="007703C1"/>
    <w:rsid w:val="00806ADA"/>
    <w:rsid w:val="0081563B"/>
    <w:rsid w:val="008C4325"/>
    <w:rsid w:val="008D435F"/>
    <w:rsid w:val="009415F8"/>
    <w:rsid w:val="00966732"/>
    <w:rsid w:val="00982FD3"/>
    <w:rsid w:val="0099092C"/>
    <w:rsid w:val="009C1DB0"/>
    <w:rsid w:val="00AA196D"/>
    <w:rsid w:val="00AB6C1F"/>
    <w:rsid w:val="00AF2EB5"/>
    <w:rsid w:val="00AF632A"/>
    <w:rsid w:val="00B4425A"/>
    <w:rsid w:val="00B53619"/>
    <w:rsid w:val="00B9172A"/>
    <w:rsid w:val="00C52671"/>
    <w:rsid w:val="00D602BB"/>
    <w:rsid w:val="00D66017"/>
    <w:rsid w:val="00DB45A8"/>
    <w:rsid w:val="00E270CD"/>
    <w:rsid w:val="00EA5F85"/>
    <w:rsid w:val="00EF2C61"/>
    <w:rsid w:val="00F15FA6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/>
      <w:sz w:val="16"/>
      <w:szCs w:val="16"/>
      <w:lang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7"/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KFqsBLqlEQzZ8NFTKrFEytE9xqRpBywqkoPGvF0aFP8=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eJUUGeyCMjOl9rYzt3sVjs5RiVGAidlv1jQZPpGQCjamkc0zrjbbuZ0Q2cYoWc/4aOHejfPa
    InCDD4KOfHTNlQ==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SAlGk3+9HM9K7SYGe7/tIbkS2e4=</DigestValue>
      </Reference>
      <Reference URI="/word/endnotes.xml?ContentType=application/vnd.openxmlformats-officedocument.wordprocessingml.endnotes+xml">
        <DigestMethod Algorithm="http://www.w3.org/2000/09/xmldsig#sha1"/>
        <DigestValue>V1x4RrcdgYYL9H+bFhI9hDo9bFE=</DigestValue>
      </Reference>
      <Reference URI="/word/fontTable.xml?ContentType=application/vnd.openxmlformats-officedocument.wordprocessingml.fontTable+xml">
        <DigestMethod Algorithm="http://www.w3.org/2000/09/xmldsig#sha1"/>
        <DigestValue>OgyXUl56wsOwHX8/MnDtgcnypVk=</DigestValue>
      </Reference>
      <Reference URI="/word/footer1.xml?ContentType=application/vnd.openxmlformats-officedocument.wordprocessingml.footer+xml">
        <DigestMethod Algorithm="http://www.w3.org/2000/09/xmldsig#sha1"/>
        <DigestValue>7KdnK1UuQZAB0G8a6++oj97A1uw=</DigestValue>
      </Reference>
      <Reference URI="/word/footnotes.xml?ContentType=application/vnd.openxmlformats-officedocument.wordprocessingml.footnotes+xml">
        <DigestMethod Algorithm="http://www.w3.org/2000/09/xmldsig#sha1"/>
        <DigestValue>7g9vJHuu7N/e0Kx7B2GVjlkx2Xo=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iKb0Gxdvkq3yK/NV229iMoEOkJs=</DigestValue>
      </Reference>
      <Reference URI="/word/styles.xml?ContentType=application/vnd.openxmlformats-officedocument.wordprocessingml.styles+xml">
        <DigestMethod Algorithm="http://www.w3.org/2000/09/xmldsig#sha1"/>
        <DigestValue>IV0gnZoHcbqz4WVC0OiQ2JiADcw=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2017-10-27T09:06:39Z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2</cp:revision>
  <cp:lastPrinted>2012-09-17T08:25:00Z</cp:lastPrinted>
  <dcterms:created xsi:type="dcterms:W3CDTF">2017-10-27T07:38:00Z</dcterms:created>
  <dcterms:modified xsi:type="dcterms:W3CDTF">2017-10-27T07:38:00Z</dcterms:modified>
</cp:coreProperties>
</file>