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877A80" w:rsidRDefault="00877A80" w:rsidP="006745B8">
      <w:pPr>
        <w:jc w:val="both"/>
        <w:rPr>
          <w:i/>
        </w:rPr>
      </w:pPr>
      <w:r>
        <w:rPr>
          <w:i/>
        </w:rPr>
        <w:t xml:space="preserve">- </w:t>
      </w:r>
      <w:r w:rsidR="009051F1" w:rsidRPr="009051F1">
        <w:rPr>
          <w:i/>
        </w:rPr>
        <w:t xml:space="preserve">Помещение, назначение: нежилое, площадь 236,6 </w:t>
      </w:r>
      <w:proofErr w:type="spellStart"/>
      <w:r w:rsidR="009051F1" w:rsidRPr="009051F1">
        <w:rPr>
          <w:i/>
        </w:rPr>
        <w:t>кв.м</w:t>
      </w:r>
      <w:proofErr w:type="spellEnd"/>
      <w:r w:rsidR="009051F1" w:rsidRPr="009051F1">
        <w:rPr>
          <w:i/>
        </w:rPr>
        <w:t>., этаж 1, кадастровый номер 59/59-10/042/2012-028, адрес объекта: Пермский край, г. Лысьва, проспект Победы,25/2 пом. 2</w:t>
      </w:r>
      <w:r w:rsidR="006647F7">
        <w:rPr>
          <w:i/>
        </w:rPr>
        <w:t>,</w:t>
      </w:r>
    </w:p>
    <w:p w:rsidR="00903C5D" w:rsidRPr="009044EB" w:rsidRDefault="00EB357D" w:rsidP="00877A80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9051F1">
        <w:rPr>
          <w:color w:val="auto"/>
        </w:rPr>
        <w:t>713 900</w:t>
      </w:r>
      <w:r w:rsidR="009051F1" w:rsidRPr="009051F1">
        <w:rPr>
          <w:color w:val="auto"/>
        </w:rPr>
        <w:t xml:space="preserve"> </w:t>
      </w:r>
      <w:r w:rsidR="007E6A42" w:rsidRPr="009044EB">
        <w:t>(</w:t>
      </w:r>
      <w:r w:rsidR="009051F1">
        <w:t>Семьсот тринадцать</w:t>
      </w:r>
      <w:r w:rsidR="00EA2026">
        <w:t xml:space="preserve"> </w:t>
      </w:r>
      <w:r w:rsidR="00166DD4">
        <w:t>тысяч</w:t>
      </w:r>
      <w:r w:rsidR="009051F1">
        <w:t xml:space="preserve"> девятьсот</w:t>
      </w:r>
      <w:bookmarkStart w:id="0" w:name="_GoBack"/>
      <w:bookmarkEnd w:id="0"/>
      <w:r w:rsidR="007E6A42" w:rsidRPr="009044EB">
        <w:t>) рубл</w:t>
      </w:r>
      <w:r w:rsidR="006B5EB1">
        <w:t>ей</w:t>
      </w:r>
      <w:r w:rsidR="00516540">
        <w:t xml:space="preserve"> </w:t>
      </w:r>
      <w:r w:rsidR="006745B8">
        <w:t>0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</w:t>
      </w:r>
      <w:r w:rsidRPr="009044EB">
        <w:lastRenderedPageBreak/>
        <w:t>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7F7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45B8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77A8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1F1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656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67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oDwIEiAkhs2pHWRfqIwhW9BAFQfQFZayqMpOL58BUYA=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Dnj+tW33YW4jUMMfuFyk+D6Mzp6cIcmDD8bcEeEDiMw=</DigestValue>
    </Reference>
  </SignedInfo>
  <SignatureValue>mZiiYFCDiDDqYMCgSpeAnw51oRgNvymR+09XDNuhq9KE9x8rQy04bKWubjZOfLEo
5PqgJ6/3TuVjypEt6X1lzQ==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pafaOPAeTMqA41eQWMu5+tiTDXQ=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hZ5tYywN0xlLWgK0lVJQXpNDTY0=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2018-04-07T17:23:21Z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20</cp:revision>
  <dcterms:created xsi:type="dcterms:W3CDTF">2018-03-07T08:09:00Z</dcterms:created>
  <dcterms:modified xsi:type="dcterms:W3CDTF">2018-03-21T12:42:00Z</dcterms:modified>
</cp:coreProperties>
</file>