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80710A">
        <w:t>_______ 201</w:t>
      </w:r>
      <w:r w:rsidR="00A85178">
        <w:t>8</w:t>
      </w:r>
      <w:r w:rsidRPr="003E01B4">
        <w:t xml:space="preserve"> г.   </w:t>
      </w:r>
    </w:p>
    <w:p w:rsidR="00881E06" w:rsidRDefault="00A85178" w:rsidP="006F7354">
      <w:pPr>
        <w:ind w:right="142" w:firstLine="709"/>
        <w:jc w:val="both"/>
      </w:pPr>
      <w:proofErr w:type="gramStart"/>
      <w:r w:rsidRPr="00F95C74">
        <w:t>Шахова Валентина Дмитриевна (08.05.1955 г.р.; место рождения – г. Сокол Вологодской обл.; адрес регистрации:</w:t>
      </w:r>
      <w:proofErr w:type="gramEnd"/>
      <w:r w:rsidRPr="00F95C74">
        <w:t xml:space="preserve"> </w:t>
      </w:r>
      <w:proofErr w:type="gramStart"/>
      <w:r w:rsidRPr="00F95C74">
        <w:t>Вологодская обл., г. Сокол, ул. Советская, д. 82, кв. 21, ИНН 352701118170, СНИЛС 064-752-807-81)</w:t>
      </w:r>
      <w:r>
        <w:t>, именуемая</w:t>
      </w:r>
      <w:r w:rsidR="006F7354" w:rsidRPr="00A978CE">
        <w:t xml:space="preserve"> в дальнейшем «Продавец», в лице </w:t>
      </w:r>
      <w:r>
        <w:t>финансового</w:t>
      </w:r>
      <w:r w:rsidR="006F7354" w:rsidRPr="00A978CE">
        <w:t xml:space="preserve"> управляюще</w:t>
      </w:r>
      <w:r w:rsidR="006F7354">
        <w:t xml:space="preserve">го </w:t>
      </w:r>
      <w:proofErr w:type="spellStart"/>
      <w:r w:rsidR="006F7354">
        <w:t>Отводова</w:t>
      </w:r>
      <w:proofErr w:type="spellEnd"/>
      <w:r w:rsidR="006F7354">
        <w:t xml:space="preserve"> Александра Сергеевича</w:t>
      </w:r>
      <w:r w:rsidR="006F7354" w:rsidRPr="00A978CE">
        <w:t xml:space="preserve">, действующего на основании </w:t>
      </w:r>
      <w:r>
        <w:t>Решения</w:t>
      </w:r>
      <w:r w:rsidRPr="00F95C74">
        <w:t xml:space="preserve"> Арбитражного суда Вологодской области от 28 июня 2017 года по делу №А13-3269/2017</w:t>
      </w:r>
      <w:r w:rsidR="006F7354" w:rsidRPr="00A978CE">
        <w:t>, с одной стороны,</w:t>
      </w:r>
      <w:r w:rsidR="006F7354">
        <w:t xml:space="preserve"> </w:t>
      </w:r>
      <w:proofErr w:type="gramEnd"/>
    </w:p>
    <w:p w:rsidR="006F7354" w:rsidRPr="003E01B4" w:rsidRDefault="00881E06" w:rsidP="006F7354">
      <w:pPr>
        <w:ind w:right="142" w:firstLine="709"/>
        <w:jc w:val="both"/>
        <w:rPr>
          <w:b/>
        </w:rPr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руководствуясь положениями Федерального закона от 26.10.2002 года № 127-ФЗ «О несостоятельности (банкротстве)», </w:t>
      </w:r>
      <w:r w:rsidR="006F7354">
        <w:t>«</w:t>
      </w:r>
      <w:r w:rsidR="006F7354" w:rsidRPr="00A978CE">
        <w:rPr>
          <w:bCs/>
        </w:rPr>
        <w:t xml:space="preserve">Положением </w:t>
      </w:r>
      <w:r w:rsidR="006F7354">
        <w:rPr>
          <w:bCs/>
        </w:rPr>
        <w:t xml:space="preserve">о порядке и условиях продажи </w:t>
      </w:r>
      <w:r>
        <w:rPr>
          <w:bCs/>
        </w:rPr>
        <w:t xml:space="preserve">имущества </w:t>
      </w:r>
      <w:r w:rsidR="006F7354">
        <w:rPr>
          <w:bCs/>
        </w:rPr>
        <w:t xml:space="preserve">должника </w:t>
      </w:r>
      <w:r w:rsidR="006F7354" w:rsidRPr="00A978CE">
        <w:t xml:space="preserve">(далее «Положение»),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Pr="00CE05EC">
        <w:t xml:space="preserve"> о проведении торгов в форме </w:t>
      </w:r>
      <w:r>
        <w:t>Аукциона</w:t>
      </w:r>
      <w:r w:rsidRPr="00CE05EC">
        <w:t xml:space="preserve">, по согласованию с </w:t>
      </w:r>
      <w:r w:rsidR="00A85178">
        <w:t>финансовым</w:t>
      </w:r>
      <w:r w:rsidRPr="00CE05EC">
        <w:t xml:space="preserve"> управляющим.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 в соответствии с информационным сообщением о проведен</w:t>
      </w:r>
      <w:proofErr w:type="gramStart"/>
      <w:r w:rsidRPr="00CE05EC">
        <w:t xml:space="preserve">ии </w:t>
      </w:r>
      <w:r>
        <w:t>Ау</w:t>
      </w:r>
      <w:proofErr w:type="gramEnd"/>
      <w:r>
        <w:t>кциона</w:t>
      </w:r>
      <w:r w:rsidRPr="00CE05EC">
        <w:t xml:space="preserve"> по продаже </w:t>
      </w:r>
      <w:r w:rsidR="008124C5">
        <w:rPr>
          <w:bCs/>
        </w:rPr>
        <w:t>имущества должника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A85178" w:rsidRDefault="006F7354" w:rsidP="00A85178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Pr="00CE05EC" w:rsidRDefault="006F7354" w:rsidP="00A85178">
      <w:pPr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lastRenderedPageBreak/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>
        <w:t>«</w:t>
      </w:r>
      <w:r w:rsidRPr="00A978CE">
        <w:rPr>
          <w:bCs/>
        </w:rPr>
        <w:t xml:space="preserve">Положением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должника»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A85178" w:rsidRDefault="00A85178" w:rsidP="000845FF">
      <w:pPr>
        <w:ind w:left="3420"/>
        <w:jc w:val="both"/>
        <w:rPr>
          <w:b/>
        </w:rPr>
      </w:pP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A85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8" w:type="dxa"/>
          <w:trHeight w:val="70"/>
        </w:trPr>
        <w:tc>
          <w:tcPr>
            <w:tcW w:w="4709" w:type="dxa"/>
            <w:gridSpan w:val="2"/>
          </w:tcPr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A85178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A85178">
              <w:rPr>
                <w:szCs w:val="24"/>
              </w:rPr>
              <w:t>____________/</w:t>
            </w:r>
          </w:p>
        </w:tc>
        <w:tc>
          <w:tcPr>
            <w:tcW w:w="4862" w:type="dxa"/>
          </w:tcPr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>
      <w:bookmarkStart w:id="0" w:name="_GoBack"/>
      <w:bookmarkEnd w:id="0"/>
    </w:p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4"/>
    <w:rsid w:val="00016F0E"/>
    <w:rsid w:val="000845FF"/>
    <w:rsid w:val="000D2DA3"/>
    <w:rsid w:val="00112354"/>
    <w:rsid w:val="00170C14"/>
    <w:rsid w:val="00215115"/>
    <w:rsid w:val="003A515F"/>
    <w:rsid w:val="004539CC"/>
    <w:rsid w:val="004E3D2B"/>
    <w:rsid w:val="005D4576"/>
    <w:rsid w:val="006110E4"/>
    <w:rsid w:val="00644012"/>
    <w:rsid w:val="006478DB"/>
    <w:rsid w:val="006760EA"/>
    <w:rsid w:val="006918E9"/>
    <w:rsid w:val="006B1E46"/>
    <w:rsid w:val="006F7354"/>
    <w:rsid w:val="007502FC"/>
    <w:rsid w:val="007A024A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A348C5"/>
    <w:rsid w:val="00A85178"/>
    <w:rsid w:val="00BC0DAF"/>
    <w:rsid w:val="00C17492"/>
    <w:rsid w:val="00CF14BC"/>
    <w:rsid w:val="00D67C26"/>
    <w:rsid w:val="00DA1B8B"/>
    <w:rsid w:val="00E25CE7"/>
    <w:rsid w:val="00E9437C"/>
    <w:rsid w:val="00EA04F5"/>
    <w:rsid w:val="00F16954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2018-02-14T12:16:00Z</dcterms:created>
  <dcterms:modified xsi:type="dcterms:W3CDTF">2018-02-14T12:23:00Z</dcterms:modified>
</cp:coreProperties>
</file>