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8769E6" w:rsidRDefault="001827C9" w:rsidP="008769E6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8769E6">
        <w:t>4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 xml:space="preserve">) процентов </w:t>
      </w:r>
      <w:r w:rsidR="008769E6">
        <w:t>от</w:t>
      </w:r>
      <w:r w:rsidR="008769E6">
        <w:rPr>
          <w:rStyle w:val="a5"/>
          <w:i w:val="0"/>
          <w:sz w:val="16"/>
          <w:szCs w:val="16"/>
        </w:rPr>
        <w:t xml:space="preserve"> </w:t>
      </w:r>
      <w:r w:rsidR="008769E6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proofErr w:type="gramStart"/>
      <w:r w:rsidR="008769E6">
        <w:rPr>
          <w:bCs/>
          <w:sz w:val="16"/>
          <w:szCs w:val="16"/>
        </w:rPr>
        <w:t xml:space="preserve"> </w:t>
      </w:r>
      <w:r w:rsidR="008769E6">
        <w:rPr>
          <w:sz w:val="16"/>
          <w:szCs w:val="16"/>
        </w:rPr>
        <w:t>.</w:t>
      </w:r>
      <w:proofErr w:type="gramEnd"/>
      <w:r w:rsidR="008769E6"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r w:rsidRPr="00717DE1">
        <w:t xml:space="preserve">с даты </w:t>
      </w:r>
      <w:r>
        <w:t>подписания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4588C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769E6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8769E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rhs7KUU11EE5D6psuh6htlNCSlEr93Tm9rX/E7LKn5o=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xP2ue+jMhxVLdUS22RIzCEbVK4QxWEO+UQZI0XHseb/oGeoBbRxRRo6c+MArdyLG8jhEiFKK
    sBW3fpvaNIkwUw==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fPmwc5hR+dCS172CgEmzp68YfwI=</DigestValue>
      </Reference>
      <Reference URI="/word/fontTable.xml?ContentType=application/vnd.openxmlformats-officedocument.wordprocessingml.fontTable+xml">
        <DigestMethod Algorithm="http://www.w3.org/2000/09/xmldsig#sha1"/>
        <DigestValue>E1AZsO87YG4qJkrdT6E12oCHrBc=</DigestValue>
      </Reference>
      <Reference URI="/word/settings.xml?ContentType=application/vnd.openxmlformats-officedocument.wordprocessingml.settings+xml">
        <DigestMethod Algorithm="http://www.w3.org/2000/09/xmldsig#sha1"/>
        <DigestValue>hj0wVyVubtGpFJ4JWDTewpuNDFE=</DigestValue>
      </Reference>
      <Reference URI="/word/styles.xml?ContentType=application/vnd.openxmlformats-officedocument.wordprocessingml.styles+xml">
        <DigestMethod Algorithm="http://www.w3.org/2000/09/xmldsig#sha1"/>
        <DigestValue>xzufrXYqtfQwHK5/Nza9gDE8HwU=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HH5qrNyRjzjWnCBEFVNH4CS73+U=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2015-11-17T17:36:00Z</dcterms:created>
  <dcterms:modified xsi:type="dcterms:W3CDTF">2018-03-29T05:59:00Z</dcterms:modified>
</cp:coreProperties>
</file>