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7"/>
        <w:gridCol w:w="4679"/>
        <w:tblGridChange w:id="0">
          <w:tblGrid>
            <w:gridCol w:w="4677"/>
            <w:gridCol w:w="467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Москва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«___» ___________ 2018 г.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Общество с ограниченной ответственностью «Варги Юниор»</w:t>
      </w:r>
      <w:r w:rsidDel="00000000" w:rsidR="00000000" w:rsidRPr="00000000">
        <w:rPr>
          <w:sz w:val="22"/>
          <w:szCs w:val="22"/>
          <w:rtl w:val="0"/>
        </w:rPr>
        <w:t xml:space="preserve">, в дальнейшем именуемый «Исполнитель», в лице Генерального директора Головниковой Татьяны Дмитриевны действующего на основании Устава</w:t>
      </w:r>
      <w:r w:rsidDel="00000000" w:rsidR="00000000" w:rsidRPr="00000000">
        <w:rPr>
          <w:sz w:val="24"/>
          <w:szCs w:val="24"/>
          <w:rtl w:val="0"/>
        </w:rPr>
        <w:t xml:space="preserve">, и</w:t>
      </w:r>
    </w:p>
    <w:p w:rsidR="00000000" w:rsidDel="00000000" w:rsidP="00000000" w:rsidRDefault="00000000" w:rsidRPr="00000000" w14:paraId="00000006">
      <w:pPr>
        <w:spacing w:line="276" w:lineRule="auto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_________________________________, именуем___ в дальнейшем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», а по отдельности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«Сторона», </w:t>
      </w:r>
      <w:r w:rsidDel="00000000" w:rsidR="00000000" w:rsidRPr="00000000">
        <w:rPr>
          <w:sz w:val="24"/>
          <w:szCs w:val="24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3.6" w:lineRule="auto"/>
        <w:ind w:left="0" w:right="0" w:firstLine="705"/>
        <w:contextualSpacing w:val="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73.6" w:lineRule="auto"/>
        <w:ind w:left="0" w:firstLine="70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Заявитель </w:t>
      </w:r>
      <w:r w:rsidDel="00000000" w:rsidR="00000000" w:rsidRPr="00000000">
        <w:rPr>
          <w:sz w:val="24"/>
          <w:szCs w:val="24"/>
          <w:rtl w:val="0"/>
        </w:rPr>
        <w:t xml:space="preserve">для участия в открытых электронных торгах по продаже имущества имущества ____________________________________________________, в форме аукциона открытого по составу участников с открытой формой подачи предложения о цене  на электронной площадке «Российский аукционный дом» по адресу в сети Интернет http://www.lot-online.ru  вносит задаток в размере ____________________ рублей на специальный счет по реквизитам:  _________________________________, 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3.6" w:lineRule="auto"/>
        <w:ind w:left="0" w:right="0" w:firstLine="705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Задаток вносится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качестве обеспечения исполнения обязательств по оплате продаваемого на торгах имущества </w:t>
      </w: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внесения, возврата и удержания задатка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Задаток перечисляется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течение всего срока приема заявок на участие в торгах по продаже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Задаток считается внесенным с момента его зачисления банком в полном объеме на специальный счет </w:t>
      </w:r>
      <w:r w:rsidDel="00000000" w:rsidR="00000000" w:rsidRPr="00000000">
        <w:rPr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внесению задатка считаются неисполненными, если поступление всей суммы задатка на специальный счет не подтверждено по состоянию на дату и время окончания приема заявок.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Задаток возвращается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следующих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709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-при отзыве заявки до даты и времени окончания приема заявок;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непоступления всей суммы задатка в последний день приема заявок, указанный в сообщении о проведении торгов.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Задаток возвращается всем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торгов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конкурсного управляющего о заключении договора купли-продажи.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задатка, внесенного победителем торгов, засчитывается в счет оплаты приобретенного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709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условия договора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г. Москвы.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и подписи сторон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dxa"/>
        <w:tblLayout w:type="fixed"/>
        <w:tblLook w:val="0400"/>
      </w:tblPr>
      <w:tblGrid>
        <w:gridCol w:w="4677"/>
        <w:gridCol w:w="4679"/>
        <w:tblGridChange w:id="0">
          <w:tblGrid>
            <w:gridCol w:w="4677"/>
            <w:gridCol w:w="467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Организатор торгов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105062, г.Москва, а/я 75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+7 (495) 642-38-25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________________/Головникова Т.Д./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 /_____________________</w:t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firs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56.0" w:type="dxa"/>
      <w:jc w:val="left"/>
      <w:tblInd w:w="108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85"/>
      <w:gridCol w:w="2692"/>
      <w:gridCol w:w="1560"/>
      <w:gridCol w:w="3119"/>
      <w:tblGridChange w:id="0">
        <w:tblGrid>
          <w:gridCol w:w="1985"/>
          <w:gridCol w:w="2692"/>
          <w:gridCol w:w="1560"/>
          <w:gridCol w:w="3119"/>
        </w:tblGrid>
      </w:tblGridChange>
    </w:tblGrid>
    <w:tr>
      <w:tc>
        <w:tcPr/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Организатор торгов</w:t>
          </w:r>
        </w:p>
      </w:tc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Заявитель</w:t>
          </w:r>
        </w:p>
      </w:tc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