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63FC" w14:textId="77777777" w:rsidR="008A007A" w:rsidRPr="00324B1D" w:rsidRDefault="006E1BCE" w:rsidP="008A007A">
      <w:pPr>
        <w:pStyle w:val="a3"/>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45111067"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6E1BCE">
        <w:rPr>
          <w:rFonts w:ascii="Arial" w:hAnsi="Arial" w:cs="Arial"/>
          <w:sz w:val="20"/>
          <w:szCs w:val="20"/>
        </w:rPr>
        <w:t xml:space="preserve"> 201</w:t>
      </w:r>
      <w:r w:rsidR="000127EF">
        <w:rPr>
          <w:rFonts w:ascii="Arial" w:hAnsi="Arial" w:cs="Arial"/>
          <w:sz w:val="20"/>
          <w:szCs w:val="20"/>
        </w:rPr>
        <w:t>8</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091658CC"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Pr="00324B1D">
        <w:rPr>
          <w:rFonts w:ascii="Arial" w:hAnsi="Arial" w:cs="Arial"/>
          <w:b/>
          <w:sz w:val="20"/>
          <w:szCs w:val="20"/>
        </w:rPr>
        <w:t>Общество с ограниченной ответственностью «</w:t>
      </w:r>
      <w:r w:rsidR="006E1BCE">
        <w:rPr>
          <w:rFonts w:ascii="Arial" w:hAnsi="Arial" w:cs="Arial"/>
          <w:b/>
          <w:sz w:val="20"/>
          <w:szCs w:val="20"/>
        </w:rPr>
        <w:t xml:space="preserve">Компания </w:t>
      </w:r>
      <w:r w:rsidR="00824351">
        <w:rPr>
          <w:rFonts w:ascii="Arial" w:hAnsi="Arial" w:cs="Arial"/>
          <w:b/>
          <w:sz w:val="20"/>
          <w:szCs w:val="20"/>
        </w:rPr>
        <w:t>по сопровождению бизнеса «Эксперт</w:t>
      </w:r>
      <w:r w:rsidRPr="00324B1D">
        <w:rPr>
          <w:rFonts w:ascii="Arial" w:hAnsi="Arial" w:cs="Arial"/>
          <w:b/>
          <w:sz w:val="20"/>
          <w:szCs w:val="20"/>
        </w:rPr>
        <w:t>»</w:t>
      </w:r>
      <w:r w:rsidRPr="00324B1D">
        <w:rPr>
          <w:rFonts w:ascii="Arial" w:hAnsi="Arial" w:cs="Arial"/>
          <w:sz w:val="20"/>
          <w:szCs w:val="20"/>
        </w:rPr>
        <w:t xml:space="preserve">, именуемое в дальнейшем «Организатор торгов», в лице директора </w:t>
      </w:r>
      <w:r w:rsidR="00824351">
        <w:rPr>
          <w:rFonts w:ascii="Arial" w:hAnsi="Arial" w:cs="Arial"/>
          <w:sz w:val="20"/>
          <w:szCs w:val="20"/>
        </w:rPr>
        <w:t>Березуна Вадима Валерьевича</w:t>
      </w:r>
      <w:r w:rsidRPr="00324B1D">
        <w:rPr>
          <w:rFonts w:ascii="Arial" w:hAnsi="Arial" w:cs="Arial"/>
          <w:sz w:val="20"/>
          <w:szCs w:val="20"/>
        </w:rPr>
        <w:t xml:space="preserve">, действующего на основании Устава,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13391DAC" w:rsidR="008A007A" w:rsidRPr="00324B1D" w:rsidRDefault="00DF2B2F" w:rsidP="001A0E51">
      <w:pPr>
        <w:numPr>
          <w:ilvl w:val="1"/>
          <w:numId w:val="2"/>
        </w:numPr>
        <w:ind w:left="0" w:firstLine="0"/>
        <w:jc w:val="both"/>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имущества </w:t>
      </w:r>
      <w:r w:rsidR="001A0E51" w:rsidRPr="001A0E51">
        <w:rPr>
          <w:rFonts w:ascii="Arial" w:hAnsi="Arial" w:cs="Arial"/>
          <w:b/>
          <w:sz w:val="20"/>
          <w:szCs w:val="20"/>
        </w:rPr>
        <w:t>ООО «</w:t>
      </w:r>
      <w:r w:rsidR="00E04768">
        <w:rPr>
          <w:rFonts w:ascii="Arial" w:hAnsi="Arial" w:cs="Arial"/>
          <w:b/>
          <w:sz w:val="20"/>
          <w:szCs w:val="20"/>
        </w:rPr>
        <w:t>Каскад</w:t>
      </w:r>
      <w:r w:rsidR="001A0E51" w:rsidRPr="001A0E51">
        <w:rPr>
          <w:rFonts w:ascii="Arial" w:hAnsi="Arial" w:cs="Arial"/>
          <w:b/>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w:t>
      </w:r>
      <w:r w:rsidR="00E04768">
        <w:rPr>
          <w:rFonts w:ascii="Arial" w:hAnsi="Arial" w:cs="Arial"/>
          <w:sz w:val="20"/>
          <w:szCs w:val="20"/>
        </w:rPr>
        <w:t xml:space="preserve">1: </w:t>
      </w:r>
      <w:r w:rsidR="00E04768" w:rsidRPr="00E04768">
        <w:rPr>
          <w:rFonts w:ascii="Arial" w:hAnsi="Arial" w:cs="Arial"/>
          <w:sz w:val="20"/>
          <w:szCs w:val="20"/>
        </w:rPr>
        <w:t>Помещение площадью 163,2 кв.м., назначение жилое, адрес: Архангельская область, с.Холмогоры, ул.Ломоносова, д.16, кв. 2, кадастровый номер: 29:19:161917:159</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xml:space="preserve">), Претендент перечисляет в качестве задатка денежные средства в размере </w:t>
      </w:r>
      <w:r w:rsidR="00E04768">
        <w:rPr>
          <w:rFonts w:ascii="Arial" w:hAnsi="Arial" w:cs="Arial"/>
          <w:sz w:val="20"/>
          <w:szCs w:val="20"/>
        </w:rPr>
        <w:t>1</w:t>
      </w:r>
      <w:r w:rsidR="00433F45">
        <w:rPr>
          <w:rFonts w:ascii="Arial" w:hAnsi="Arial" w:cs="Arial"/>
          <w:sz w:val="20"/>
          <w:szCs w:val="20"/>
        </w:rPr>
        <w:t>35</w:t>
      </w:r>
      <w:r w:rsidR="00E04768">
        <w:rPr>
          <w:rFonts w:ascii="Arial" w:hAnsi="Arial" w:cs="Arial"/>
          <w:sz w:val="20"/>
          <w:szCs w:val="20"/>
        </w:rPr>
        <w:t xml:space="preserve"> 000</w:t>
      </w:r>
      <w:r w:rsidR="008A007A" w:rsidRPr="00324B1D">
        <w:rPr>
          <w:rFonts w:ascii="Arial" w:hAnsi="Arial" w:cs="Arial"/>
          <w:sz w:val="20"/>
          <w:szCs w:val="20"/>
        </w:rPr>
        <w:t xml:space="preserve"> (</w:t>
      </w:r>
      <w:r w:rsidR="00E04768">
        <w:rPr>
          <w:rFonts w:ascii="Arial" w:hAnsi="Arial" w:cs="Arial"/>
          <w:sz w:val="20"/>
          <w:szCs w:val="20"/>
        </w:rPr>
        <w:t xml:space="preserve">Сто </w:t>
      </w:r>
      <w:r w:rsidR="00433F45">
        <w:rPr>
          <w:rFonts w:ascii="Arial" w:hAnsi="Arial" w:cs="Arial"/>
          <w:sz w:val="20"/>
          <w:szCs w:val="20"/>
        </w:rPr>
        <w:t>тридцать пять</w:t>
      </w:r>
      <w:bookmarkStart w:id="0" w:name="_GoBack"/>
      <w:bookmarkEnd w:id="0"/>
      <w:r w:rsidR="00E04768">
        <w:rPr>
          <w:rFonts w:ascii="Arial" w:hAnsi="Arial" w:cs="Arial"/>
          <w:sz w:val="20"/>
          <w:szCs w:val="20"/>
        </w:rPr>
        <w:t xml:space="preserve"> тысяч</w:t>
      </w:r>
      <w:r w:rsidR="008A007A" w:rsidRPr="00324B1D">
        <w:rPr>
          <w:rFonts w:ascii="Arial" w:hAnsi="Arial" w:cs="Arial"/>
          <w:sz w:val="20"/>
          <w:szCs w:val="20"/>
        </w:rPr>
        <w:t>) рублей</w:t>
      </w:r>
      <w:r w:rsidR="00DD0EAE">
        <w:rPr>
          <w:rFonts w:ascii="Arial" w:hAnsi="Arial" w:cs="Arial"/>
          <w:sz w:val="20"/>
          <w:szCs w:val="20"/>
        </w:rPr>
        <w:t xml:space="preserve">, что составляет </w:t>
      </w:r>
      <w:r w:rsidR="001A0E51">
        <w:rPr>
          <w:rFonts w:ascii="Arial" w:hAnsi="Arial" w:cs="Arial"/>
          <w:sz w:val="20"/>
          <w:szCs w:val="20"/>
        </w:rPr>
        <w:t>1</w:t>
      </w:r>
      <w:r w:rsidR="00F63A17">
        <w:rPr>
          <w:rFonts w:ascii="Arial" w:hAnsi="Arial" w:cs="Arial"/>
          <w:sz w:val="20"/>
          <w:szCs w:val="20"/>
        </w:rPr>
        <w:t xml:space="preserve">0 </w:t>
      </w:r>
      <w:r w:rsidR="0086341D">
        <w:rPr>
          <w:rFonts w:ascii="Arial" w:hAnsi="Arial" w:cs="Arial"/>
          <w:sz w:val="20"/>
          <w:szCs w:val="20"/>
        </w:rPr>
        <w:t>% от начальной цены указанного лота</w:t>
      </w:r>
      <w:r w:rsidR="000127EF">
        <w:rPr>
          <w:rFonts w:ascii="Arial" w:hAnsi="Arial" w:cs="Arial"/>
          <w:sz w:val="20"/>
          <w:szCs w:val="20"/>
        </w:rPr>
        <w:t xml:space="preserve"> </w:t>
      </w:r>
      <w:r w:rsidR="008A007A" w:rsidRPr="00324B1D">
        <w:rPr>
          <w:rFonts w:ascii="Arial" w:hAnsi="Arial" w:cs="Arial"/>
          <w:sz w:val="20"/>
          <w:szCs w:val="20"/>
        </w:rPr>
        <w:t>(далее – Задаток), 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8D22FD" w:rsidRPr="008D22FD">
        <w:rPr>
          <w:rFonts w:ascii="Arial" w:hAnsi="Arial" w:cs="Arial"/>
          <w:sz w:val="20"/>
          <w:szCs w:val="20"/>
        </w:rPr>
        <w:t>ООО «КСБ «Эксперт», ИНН 2901126637 КПП 290101001, р/с № 40702810600320002554 ФИЛИАЛ В Г. САНКТ-ПЕТЕРБУРГ ПАО "МИНБАНК" г.Санкт-Петербург к/с № 30101810200000000775 БИК 044030775</w:t>
      </w:r>
      <w:r w:rsidR="008A007A" w:rsidRPr="006E1BCE">
        <w:rPr>
          <w:rFonts w:ascii="Arial" w:hAnsi="Arial" w:cs="Arial"/>
          <w:sz w:val="20"/>
          <w:szCs w:val="20"/>
        </w:rPr>
        <w:t xml:space="preserve"> (далее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5CE7E27E"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w:t>
      </w:r>
      <w:r w:rsidR="006F630C" w:rsidRPr="00324B1D">
        <w:rPr>
          <w:rFonts w:ascii="Arial" w:hAnsi="Arial" w:cs="Arial"/>
          <w:sz w:val="20"/>
          <w:szCs w:val="20"/>
        </w:rPr>
        <w:t xml:space="preserve">Денежные средства, указанные в п.1.1. настоящего Договора, должны быть перечислены Претендентом на Счет Организатора торгов </w:t>
      </w:r>
      <w:r w:rsidR="006F630C" w:rsidRPr="00D35FF4">
        <w:rPr>
          <w:rFonts w:ascii="Arial" w:hAnsi="Arial" w:cs="Arial"/>
          <w:sz w:val="20"/>
          <w:szCs w:val="20"/>
        </w:rPr>
        <w:t xml:space="preserve">до </w:t>
      </w:r>
      <w:r w:rsidR="004D70BC">
        <w:rPr>
          <w:rFonts w:ascii="Arial" w:hAnsi="Arial" w:cs="Arial"/>
          <w:sz w:val="20"/>
          <w:szCs w:val="20"/>
        </w:rPr>
        <w:t>окончания периода торгов, в котором подается заявка,</w:t>
      </w:r>
      <w:r w:rsidR="006F630C" w:rsidRPr="00324B1D">
        <w:rPr>
          <w:rFonts w:ascii="Arial" w:hAnsi="Arial" w:cs="Arial"/>
          <w:sz w:val="20"/>
          <w:szCs w:val="20"/>
        </w:rPr>
        <w:t xml:space="preserve"> считаются внесенными с момента их зачисления на Счет Организатора торгов.</w:t>
      </w:r>
      <w:r w:rsidR="006F630C">
        <w:rPr>
          <w:rFonts w:ascii="Arial" w:hAnsi="Arial" w:cs="Arial"/>
          <w:sz w:val="20"/>
          <w:szCs w:val="20"/>
        </w:rPr>
        <w:t xml:space="preserve"> </w:t>
      </w:r>
      <w:r w:rsidR="006F630C" w:rsidRPr="00324B1D">
        <w:rPr>
          <w:rFonts w:ascii="Arial" w:hAnsi="Arial" w:cs="Arial"/>
          <w:sz w:val="20"/>
          <w:szCs w:val="20"/>
        </w:rPr>
        <w:t xml:space="preserve">В случае непоступления в указанный </w:t>
      </w:r>
      <w:r w:rsidR="004D70BC">
        <w:rPr>
          <w:rFonts w:ascii="Arial" w:hAnsi="Arial" w:cs="Arial"/>
          <w:sz w:val="20"/>
          <w:szCs w:val="20"/>
        </w:rPr>
        <w:t>период торгов</w:t>
      </w:r>
      <w:r w:rsidR="006F630C"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6F630C">
        <w:rPr>
          <w:rFonts w:ascii="Arial" w:hAnsi="Arial" w:cs="Arial"/>
          <w:sz w:val="20"/>
          <w:szCs w:val="20"/>
        </w:rPr>
        <w:t>Торгах</w:t>
      </w:r>
      <w:r w:rsidR="006F630C"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1D7B981F"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2.5. Возврат средств в соответствии со ст.3 настоящего Договора осуществляется на счет Претендента </w:t>
      </w:r>
      <w:r w:rsidRPr="0086341D">
        <w:rPr>
          <w:rFonts w:ascii="Arial" w:hAnsi="Arial" w:cs="Arial"/>
          <w:i/>
          <w:sz w:val="20"/>
          <w:szCs w:val="20"/>
        </w:rPr>
        <w:t>________</w:t>
      </w:r>
      <w:r w:rsidR="0086341D" w:rsidRPr="0086341D">
        <w:rPr>
          <w:rFonts w:ascii="Arial" w:hAnsi="Arial" w:cs="Arial"/>
          <w:i/>
          <w:sz w:val="20"/>
          <w:szCs w:val="20"/>
        </w:rPr>
        <w:t>(укажите свои банковские реквизиты)</w:t>
      </w:r>
      <w:r w:rsidRPr="0086341D">
        <w:rPr>
          <w:rFonts w:ascii="Arial" w:hAnsi="Arial" w:cs="Arial"/>
          <w:i/>
          <w:sz w:val="20"/>
          <w:szCs w:val="20"/>
        </w:rPr>
        <w:t>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7EFDF074" w14:textId="77777777" w:rsidR="008A007A" w:rsidRPr="00324B1D" w:rsidRDefault="008A007A" w:rsidP="00956778">
            <w:pPr>
              <w:pStyle w:val="2"/>
              <w:jc w:val="left"/>
              <w:rPr>
                <w:rFonts w:ascii="Arial" w:hAnsi="Arial" w:cs="Arial"/>
                <w:sz w:val="20"/>
              </w:rPr>
            </w:pPr>
            <w:r w:rsidRPr="00324B1D">
              <w:rPr>
                <w:rFonts w:ascii="Arial" w:hAnsi="Arial" w:cs="Arial"/>
                <w:sz w:val="20"/>
              </w:rPr>
              <w:t>Общество с ограниченной ответственностью</w:t>
            </w:r>
          </w:p>
          <w:p w14:paraId="6EFE9D34" w14:textId="51704A85" w:rsidR="008A007A" w:rsidRPr="00324B1D" w:rsidRDefault="008A007A" w:rsidP="00956778">
            <w:pPr>
              <w:pStyle w:val="2"/>
              <w:jc w:val="left"/>
              <w:rPr>
                <w:rFonts w:ascii="Arial" w:hAnsi="Arial" w:cs="Arial"/>
                <w:sz w:val="20"/>
              </w:rPr>
            </w:pPr>
            <w:r w:rsidRPr="00324B1D">
              <w:rPr>
                <w:rFonts w:ascii="Arial" w:hAnsi="Arial" w:cs="Arial"/>
                <w:sz w:val="20"/>
              </w:rPr>
              <w:t>«</w:t>
            </w:r>
            <w:r w:rsidR="00824351" w:rsidRPr="00824351">
              <w:rPr>
                <w:rFonts w:ascii="Arial" w:hAnsi="Arial" w:cs="Arial"/>
                <w:sz w:val="20"/>
              </w:rPr>
              <w:t>КСБ «Эксперт</w:t>
            </w:r>
            <w:r w:rsidRPr="00324B1D">
              <w:rPr>
                <w:rFonts w:ascii="Arial" w:hAnsi="Arial" w:cs="Arial"/>
                <w:sz w:val="20"/>
              </w:rPr>
              <w:t>»</w:t>
            </w:r>
          </w:p>
          <w:p w14:paraId="38E1D8E4" w14:textId="77777777" w:rsidR="00DB68BD" w:rsidRDefault="00DB68BD" w:rsidP="00DB68BD">
            <w:pPr>
              <w:pStyle w:val="2"/>
              <w:tabs>
                <w:tab w:val="left" w:pos="3885"/>
              </w:tabs>
              <w:jc w:val="left"/>
              <w:rPr>
                <w:rFonts w:ascii="Arial" w:hAnsi="Arial" w:cs="Arial"/>
                <w:b w:val="0"/>
                <w:sz w:val="20"/>
              </w:rPr>
            </w:pPr>
          </w:p>
          <w:p w14:paraId="4B4A6630" w14:textId="073D8F8E" w:rsidR="00824351" w:rsidRPr="00824351" w:rsidRDefault="00DB68BD" w:rsidP="00824351">
            <w:pPr>
              <w:pStyle w:val="2"/>
              <w:tabs>
                <w:tab w:val="left" w:pos="3885"/>
              </w:tabs>
              <w:jc w:val="left"/>
              <w:rPr>
                <w:rFonts w:ascii="Arial" w:hAnsi="Arial" w:cs="Arial"/>
                <w:b w:val="0"/>
                <w:sz w:val="20"/>
              </w:rPr>
            </w:pPr>
            <w:r w:rsidRPr="00DB68BD">
              <w:rPr>
                <w:rFonts w:ascii="Arial" w:hAnsi="Arial" w:cs="Arial"/>
                <w:b w:val="0"/>
                <w:sz w:val="20"/>
              </w:rPr>
              <w:t>1630</w:t>
            </w:r>
            <w:r w:rsidR="00824351">
              <w:rPr>
                <w:rFonts w:ascii="Arial" w:hAnsi="Arial" w:cs="Arial"/>
                <w:b w:val="0"/>
                <w:sz w:val="20"/>
              </w:rPr>
              <w:t>0</w:t>
            </w:r>
            <w:r w:rsidRPr="00DB68BD">
              <w:rPr>
                <w:rFonts w:ascii="Arial" w:hAnsi="Arial" w:cs="Arial"/>
                <w:b w:val="0"/>
                <w:sz w:val="20"/>
              </w:rPr>
              <w:t xml:space="preserve">0, г. Архангельск, </w:t>
            </w:r>
            <w:r w:rsidR="00824351">
              <w:rPr>
                <w:rFonts w:ascii="Arial" w:hAnsi="Arial" w:cs="Arial"/>
                <w:b w:val="0"/>
                <w:sz w:val="20"/>
              </w:rPr>
              <w:t>ул.Попова, 18</w:t>
            </w:r>
          </w:p>
          <w:p w14:paraId="5FB8FA0C" w14:textId="77777777" w:rsidR="00824351" w:rsidRDefault="00824351" w:rsidP="00DB68BD">
            <w:pPr>
              <w:pStyle w:val="2"/>
              <w:tabs>
                <w:tab w:val="left" w:pos="3885"/>
              </w:tabs>
              <w:jc w:val="left"/>
              <w:rPr>
                <w:rFonts w:ascii="Arial" w:hAnsi="Arial" w:cs="Arial"/>
                <w:b w:val="0"/>
                <w:sz w:val="20"/>
              </w:rPr>
            </w:pPr>
            <w:r w:rsidRPr="00824351">
              <w:rPr>
                <w:rFonts w:ascii="Arial" w:hAnsi="Arial" w:cs="Arial"/>
                <w:b w:val="0"/>
                <w:sz w:val="20"/>
              </w:rPr>
              <w:t xml:space="preserve">ИНН 2901126637 КПП 290101001, </w:t>
            </w:r>
          </w:p>
          <w:p w14:paraId="1669BA9B" w14:textId="62B74162" w:rsidR="00DB68BD" w:rsidRPr="00324B1D" w:rsidRDefault="008D22FD" w:rsidP="00DB68BD">
            <w:pPr>
              <w:pStyle w:val="2"/>
              <w:tabs>
                <w:tab w:val="left" w:pos="3885"/>
              </w:tabs>
              <w:jc w:val="left"/>
              <w:rPr>
                <w:rFonts w:ascii="Arial" w:hAnsi="Arial" w:cs="Arial"/>
                <w:b w:val="0"/>
                <w:sz w:val="20"/>
              </w:rPr>
            </w:pPr>
            <w:r w:rsidRPr="008D22FD">
              <w:rPr>
                <w:rFonts w:ascii="Arial" w:hAnsi="Arial" w:cs="Arial"/>
                <w:b w:val="0"/>
                <w:sz w:val="20"/>
              </w:rPr>
              <w:t>р/с № 40702810600320002554 ФИЛИАЛ В Г. САНКТ-ПЕТЕРБУРГ ПАО "МИНБАНК" г.Санкт-Петербург к/с № 30101810200000000775 БИК 044030775</w:t>
            </w:r>
          </w:p>
          <w:p w14:paraId="71287F1B" w14:textId="77777777" w:rsidR="008A007A" w:rsidRPr="00324B1D" w:rsidRDefault="008A007A">
            <w:pPr>
              <w:pStyle w:val="2"/>
              <w:tabs>
                <w:tab w:val="left" w:pos="3885"/>
              </w:tabs>
              <w:jc w:val="left"/>
              <w:rPr>
                <w:rFonts w:ascii="Arial" w:hAnsi="Arial" w:cs="Arial"/>
                <w:b w:val="0"/>
                <w:sz w:val="20"/>
              </w:rPr>
            </w:pPr>
          </w:p>
          <w:p w14:paraId="39A134DB" w14:textId="77777777" w:rsidR="008A007A" w:rsidRPr="00324B1D" w:rsidRDefault="00956778">
            <w:pPr>
              <w:pStyle w:val="2"/>
              <w:tabs>
                <w:tab w:val="left" w:pos="3885"/>
              </w:tabs>
              <w:jc w:val="left"/>
              <w:rPr>
                <w:rFonts w:ascii="Arial" w:hAnsi="Arial" w:cs="Arial"/>
                <w:sz w:val="20"/>
              </w:rPr>
            </w:pPr>
            <w:r>
              <w:rPr>
                <w:rFonts w:ascii="Arial" w:hAnsi="Arial" w:cs="Arial"/>
                <w:sz w:val="20"/>
              </w:rPr>
              <w:t>Д</w:t>
            </w:r>
            <w:r w:rsidR="008A007A" w:rsidRPr="00324B1D">
              <w:rPr>
                <w:rFonts w:ascii="Arial" w:hAnsi="Arial" w:cs="Arial"/>
                <w:sz w:val="20"/>
              </w:rPr>
              <w:t xml:space="preserve">иректор  </w:t>
            </w:r>
          </w:p>
          <w:p w14:paraId="78758DBF" w14:textId="77777777" w:rsidR="008A007A" w:rsidRPr="00324B1D" w:rsidRDefault="008A007A">
            <w:pPr>
              <w:pStyle w:val="2"/>
              <w:tabs>
                <w:tab w:val="left" w:pos="3885"/>
              </w:tabs>
              <w:jc w:val="left"/>
              <w:rPr>
                <w:rFonts w:ascii="Arial" w:hAnsi="Arial" w:cs="Arial"/>
                <w:sz w:val="20"/>
              </w:rPr>
            </w:pPr>
          </w:p>
          <w:p w14:paraId="50CBD092" w14:textId="455C98AE"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_________</w:t>
            </w:r>
            <w:r w:rsidRPr="00324B1D">
              <w:rPr>
                <w:rFonts w:ascii="Arial" w:hAnsi="Arial" w:cs="Arial"/>
                <w:sz w:val="20"/>
              </w:rPr>
              <w:t>_____ /</w:t>
            </w:r>
            <w:r w:rsidR="00824351">
              <w:rPr>
                <w:rFonts w:ascii="Arial" w:hAnsi="Arial" w:cs="Arial"/>
                <w:sz w:val="20"/>
              </w:rPr>
              <w:t>Березун В.В.</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17CD8111" w14:textId="77777777" w:rsidR="00ED666B" w:rsidRDefault="00ED666B" w:rsidP="001A0E51">
      <w:pPr>
        <w:pStyle w:val="ConsPlusNonformat"/>
        <w:spacing w:before="80"/>
        <w:ind w:firstLine="709"/>
        <w:jc w:val="both"/>
        <w:rPr>
          <w:rFonts w:ascii="Times New Roman" w:hAnsi="Times New Roman" w:cs="Times New Roman"/>
          <w:sz w:val="22"/>
          <w:szCs w:val="22"/>
        </w:rPr>
      </w:pPr>
      <w:r>
        <w:rPr>
          <w:rFonts w:ascii="Times New Roman" w:hAnsi="Times New Roman" w:cs="Times New Roman"/>
          <w:sz w:val="22"/>
          <w:szCs w:val="22"/>
        </w:rPr>
        <w:t xml:space="preserve">Документ подписывается электронной подписью Организатора торгов в соответствии с п.10, ст.110 </w:t>
      </w:r>
      <w:r w:rsidRPr="004B45AF">
        <w:rPr>
          <w:rFonts w:ascii="Times New Roman" w:hAnsi="Times New Roman" w:cs="Times New Roman"/>
          <w:sz w:val="22"/>
          <w:szCs w:val="22"/>
        </w:rPr>
        <w:t>Федерального закона от 26.10.2002 N 127-ФЗ «О несостоятельности (банкротстве)»</w:t>
      </w:r>
      <w:r>
        <w:rPr>
          <w:rFonts w:ascii="Times New Roman" w:hAnsi="Times New Roman" w:cs="Times New Roman"/>
          <w:sz w:val="22"/>
          <w:szCs w:val="22"/>
        </w:rPr>
        <w:t xml:space="preserve"> и в соответствии с п.3.2. Приложения № 1 к Приказу </w:t>
      </w:r>
      <w:r w:rsidRPr="004B45AF">
        <w:rPr>
          <w:rFonts w:ascii="Times New Roman" w:hAnsi="Times New Roman" w:cs="Times New Roman"/>
          <w:sz w:val="22"/>
          <w:szCs w:val="22"/>
        </w:rPr>
        <w:t>Минэкономразвития России</w:t>
      </w:r>
      <w:r>
        <w:rPr>
          <w:rFonts w:ascii="Times New Roman" w:hAnsi="Times New Roman" w:cs="Times New Roman"/>
          <w:sz w:val="22"/>
          <w:szCs w:val="22"/>
        </w:rPr>
        <w:t xml:space="preserve"> от 23 июля 2015 г. №</w:t>
      </w:r>
      <w:r w:rsidRPr="004B45AF">
        <w:rPr>
          <w:rFonts w:ascii="Times New Roman" w:hAnsi="Times New Roman" w:cs="Times New Roman"/>
          <w:sz w:val="22"/>
          <w:szCs w:val="22"/>
        </w:rPr>
        <w:t xml:space="preserve"> 495</w:t>
      </w:r>
      <w:r>
        <w:rPr>
          <w:rFonts w:ascii="Times New Roman" w:hAnsi="Times New Roman" w:cs="Times New Roman"/>
          <w:sz w:val="22"/>
          <w:szCs w:val="22"/>
        </w:rPr>
        <w:t>.</w:t>
      </w:r>
    </w:p>
    <w:p w14:paraId="187C8E78" w14:textId="41DD2977" w:rsidR="00C75441" w:rsidRPr="00324B1D" w:rsidRDefault="00ED666B" w:rsidP="00ED666B">
      <w:pPr>
        <w:jc w:val="both"/>
        <w:rPr>
          <w:rFonts w:ascii="Arial" w:hAnsi="Arial" w:cs="Arial"/>
          <w:sz w:val="20"/>
          <w:szCs w:val="20"/>
        </w:rPr>
      </w:pPr>
      <w:r>
        <w:rPr>
          <w:sz w:val="22"/>
          <w:szCs w:val="22"/>
        </w:rPr>
        <w:lastRenderedPageBreak/>
        <w:tab/>
        <w:t xml:space="preserve">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w:t>
      </w:r>
      <w:r w:rsidRPr="00063264">
        <w:rPr>
          <w:sz w:val="22"/>
          <w:szCs w:val="22"/>
        </w:rPr>
        <w:t>Приложения № 1 к Приказу Минэкономразвития России от 23 июля 2015 г. № 495.</w:t>
      </w: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1B"/>
    <w:rsid w:val="0000541B"/>
    <w:rsid w:val="000127EF"/>
    <w:rsid w:val="00157546"/>
    <w:rsid w:val="001A0E51"/>
    <w:rsid w:val="00324B1D"/>
    <w:rsid w:val="00363EE8"/>
    <w:rsid w:val="003A412B"/>
    <w:rsid w:val="00433F45"/>
    <w:rsid w:val="004D70BC"/>
    <w:rsid w:val="005A45C0"/>
    <w:rsid w:val="006E1BCE"/>
    <w:rsid w:val="006F630C"/>
    <w:rsid w:val="00700B66"/>
    <w:rsid w:val="008136FD"/>
    <w:rsid w:val="00824351"/>
    <w:rsid w:val="0086341D"/>
    <w:rsid w:val="008A007A"/>
    <w:rsid w:val="008D22FD"/>
    <w:rsid w:val="00942946"/>
    <w:rsid w:val="00956778"/>
    <w:rsid w:val="00B529C4"/>
    <w:rsid w:val="00BD139B"/>
    <w:rsid w:val="00C75441"/>
    <w:rsid w:val="00D71AEB"/>
    <w:rsid w:val="00DB68BD"/>
    <w:rsid w:val="00DD0EAE"/>
    <w:rsid w:val="00DF2B2F"/>
    <w:rsid w:val="00E04768"/>
    <w:rsid w:val="00EB421E"/>
    <w:rsid w:val="00ED666B"/>
    <w:rsid w:val="00EE74CB"/>
    <w:rsid w:val="00F63A17"/>
    <w:rsid w:val="00F767CE"/>
    <w:rsid w:val="00F93C59"/>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666B"/>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znDx57uiL8g/c3f7qcndNHNeIF/k4VEHqtIzY496dDs=</DigestValue>
    </Reference>
    <Reference Type="http://www.w3.org/2000/09/xmldsig#Object" URI="#idOfficeObject">
      <DigestMethod Algorithm="urn:ietf:params:xml:ns:cpxmlsec:algorithms:gostr3411"/>
      <DigestValue>wETnOUNFSJuKV/UErKcrqYqc7LhzZKvWxZBchScq3/g=</DigestValue>
    </Reference>
    <Reference Type="http://uri.etsi.org/01903#SignedProperties" URI="#idSignedProperties">
      <Transforms>
        <Transform Algorithm="http://www.w3.org/TR/2001/REC-xml-c14n-20010315"/>
      </Transforms>
      <DigestMethod Algorithm="urn:ietf:params:xml:ns:cpxmlsec:algorithms:gostr3411"/>
      <DigestValue>9DwzvEFWxzPCUSGA5l4NhmANuGytqoFlZSXFCWeS3es=</DigestValue>
    </Reference>
  </SignedInfo>
  <SignatureValue>FwlIAmTVkZk9x21RiQeCH62W32Y71tUUhV7pFeWL7QWutVOQzeGtAh3My2IOa0lS
lkzTKbdsNj3k1IBIqvunGA==</SignatureValue>
  <KeyInfo>
    <X509Data>
      <X509Certificate>MIILpTCCC1SgAwIBAgIRAOkZuenyQBag6BF1WlBptIAwCAYGKoUDAgIDMIIBhzEi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joM+anSygKrG55W/zuXdWNpnDWk=</DigestValue>
      </Reference>
      <Reference URI="/word/fontTable.xml?ContentType=application/vnd.openxmlformats-officedocument.wordprocessingml.fontTable+xml">
        <DigestMethod Algorithm="http://www.w3.org/2000/09/xmldsig#sha1"/>
        <DigestValue>nrDnFl6Ym4VywgA2cUK1oWFbuh4=</DigestValue>
      </Reference>
      <Reference URI="/word/numbering.xml?ContentType=application/vnd.openxmlformats-officedocument.wordprocessingml.numbering+xml">
        <DigestMethod Algorithm="http://www.w3.org/2000/09/xmldsig#sha1"/>
        <DigestValue>xfmUVsq6gITbuKIEmQvDmHNGW24=</DigestValue>
      </Reference>
      <Reference URI="/word/settings.xml?ContentType=application/vnd.openxmlformats-officedocument.wordprocessingml.settings+xml">
        <DigestMethod Algorithm="http://www.w3.org/2000/09/xmldsig#sha1"/>
        <DigestValue>oDmfuwEjnTdKzSp8JgwfOj05XWw=</DigestValue>
      </Reference>
      <Reference URI="/word/styles.xml?ContentType=application/vnd.openxmlformats-officedocument.wordprocessingml.styles+xml">
        <DigestMethod Algorithm="http://www.w3.org/2000/09/xmldsig#sha1"/>
        <DigestValue>/51pocP+7vR4pgP9VtQ2pv6BAnI=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myn6FIxl8PEPTy4F8r6qSDDNGYw=</DigestValue>
      </Reference>
    </Manifest>
    <SignatureProperties>
      <SignatureProperty Id="idSignatureTime" Target="#idPackageSignature">
        <mdssi:SignatureTime xmlns:mdssi="http://schemas.openxmlformats.org/package/2006/digital-signature">
          <mdssi:Format>YYYY-MM-DDThh:mm:ssTZD</mdssi:Format>
          <mdssi:Value>2018-10-08T11:01:03Z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16.0.10827/15</OfficeVersion>
          <ApplicationVersion>16.0.10827</ApplicationVersion>
          <Monitors>1</Monitors>
          <HorizontalResolution>1417</HorizontalResolution>
          <VerticalResolution>794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2018-10-08T11:01:03Z</xd:SigningTime>
          <xd:SigningCertificate>
            <xd:Cert>
              <xd:CertDigest>
                <DigestMethod Algorithm="http://www.w3.org/2000/09/xmldsig#sha1"/>
                <DigestValue>HK/bs6nYvpWd9sI1CMeOqbDUhGM=</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309843701220260160949404190737240274048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3</Pages>
  <Words>1162</Words>
  <Characters>6625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4</cp:revision>
  <dcterms:created xsi:type="dcterms:W3CDTF">2018-09-02T18:58:00Z</dcterms:created>
  <dcterms:modified xsi:type="dcterms:W3CDTF">2018-10-08T10:57:00Z</dcterms:modified>
</cp:coreProperties>
</file>