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 (ПРО</w:t>
      </w:r>
      <w:r w:rsidDel="00000000" w:rsidR="00000000" w:rsidRPr="00000000">
        <w:rPr>
          <w:b w:val="1"/>
          <w:sz w:val="24"/>
          <w:szCs w:val="24"/>
          <w:rtl w:val="0"/>
        </w:rPr>
        <w:t xml:space="preserve">ЕКТ)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№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____________</w:t>
      </w:r>
      <w:r w:rsidDel="00000000" w:rsidR="00000000" w:rsidRPr="00000000">
        <w:rPr>
          <w:sz w:val="24"/>
          <w:szCs w:val="24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7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Конкурсный управляющий ООО «Превокс Моторс» (ИНН/КПП 7720509450/774901001, ОГРН 1047796436720, 111402, г. Москва, ул. Кетчерская, 9) </w:t>
      </w:r>
      <w:r w:rsidDel="00000000" w:rsidR="00000000" w:rsidRPr="00000000">
        <w:rPr>
          <w:sz w:val="24"/>
          <w:szCs w:val="24"/>
          <w:rtl w:val="0"/>
        </w:rPr>
        <w:t xml:space="preserve">Иванова С. В. (ИНН 771547517415, СНИЛС 128-792-429 00, член НП СРО «МЦПУ»), действующая на основании Определения Арбитражного суда города Москвы от 22.12.2017 г. по делу № А40-151414/2015-18-544Б,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_________________,  действующего на основании ____________________,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далее именуемый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вместе именуемые также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«Стороны»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руководствуясь статьями 161, 164, 442, 447, 448 Гражданского Кодекса Российской Федерации, статьями 138, 139, 110, 111 Федерального закона от 26.10.2002 № 127-ФЗ "О несостоятельности (банкротстве)",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Продавец в соответствии с Порядком и  условиями реализации имущества ООО «Превокс Моторс», утвержденным ПАО </w:t>
      </w:r>
      <w:r w:rsidDel="00000000" w:rsidR="00000000" w:rsidRPr="00000000">
        <w:rPr>
          <w:sz w:val="24"/>
          <w:szCs w:val="24"/>
          <w:rtl w:val="0"/>
        </w:rPr>
        <w:t xml:space="preserve">Сбербанк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которого обеспечены залогом реализуемого имущества должника,  продал (передал в собственность), а Покупатель на торгах, проведенных </w:t>
      </w:r>
      <w:r w:rsidDel="00000000" w:rsidR="00000000" w:rsidRPr="00000000">
        <w:rPr>
          <w:sz w:val="24"/>
          <w:szCs w:val="24"/>
          <w:rtl w:val="0"/>
        </w:rPr>
        <w:t xml:space="preserve">на электронной площадке «Российский аукционный дом» по адресу в сети Интернет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http://www.lot-online.ru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форме аукциона открытого по составу участников с открытой формой подачи предложения о цене (Итоговый Протокол заседания комиссии по проведению торговой процедуры «Аукцион продавца №_____________) купил (приобрёл в собственность) автотранспортные средства, составляющие лот №___ (далее "Имущество").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  <w:tab/>
        <w:t xml:space="preserve">Состав Имущества определяется разделом 2 настоящего Договора.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80" w:line="240" w:lineRule="auto"/>
        <w:ind w:left="1080" w:right="-27" w:hanging="370.9999999999999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Продавец продал, а Покупатель приобрел в собственность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далее –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имущество/автотранспортные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момент заключения настоящего договора _______________ принадлежат Продавцу на праве собственности.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2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2.2. До подписания договора ____________, указанные в пункте 2.1  настоящего договора, осмотрены Покупателем. Недостатки или дефекты, препятствующие использованию по назначению, на момент осмотра Покупателем не обнаружены. Техническое состояние, условия эксплуатации приобретаемого по настоящему Договору имущества и условия пользования Покупателю известны, претензии по этим вопросам Продавцом и конкурсным управляющим не принимаются.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В соответствии с нормами Федерального закона от 26.10.2002 № 127-ФЗ "О несостоятельности (банкротстве)" автотранспортные средства продаются свободным от долгов ООО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Превокс Моторс".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продал, а Покупатель купил (приобрёл в собственность)_________________, составляющие лот № ______, по цене, предложенной в заявке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(______________________________)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копеек.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цена установлена сторонами настоящего Договора на основании Итогового Протокола заседания комиссии по проведению торговой процедуры «Аукцион продавца №______________», является окончательной и изменению не подлежит.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задатка – ____________ (_______________) рублей__ коп., НДС не предусмотрен, засчитывается в счёт оплаты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стоимости отчуждаемых автотранспортных средств – оставшейся суммы в размере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Расходы, связанные с государственной регистрацией перехода права собственности на __________________, несет Покупатель. Настоящие расходы не включаются в сумму, указанную в п. 3.1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Продавец обязуется передать Покупателю ________________ в течение трех дней после поступления денежных средств на счет Продавца в полном объеме по Акту приёма-передачи.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80" w:line="240" w:lineRule="auto"/>
        <w:ind w:left="709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Покупатель обязуется: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__________________ от конкурсного управляющего.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необходимые действия по регистрации перехода прав собственности на _________________ от Продавца к Покупателю.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на себя расходы, связанные с регистрацией перехода права собственности на ____________________ от Продавца к Покупателю в соответствии с действующими правилами и сложившейся практикой.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Передача _______________________ оформляется Актом приема-передачи в срок, определенный пунктом 4.1 настоящего Договора. Передача _____________________ Покупателю для целей перехода права собственности и оформление необходимых документов производится в течение трех рабочих дней с даты оплаты полной суммы по сделке. После подписания передаточного акта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Право собственности на ________________ возникает у Покупателя после полной оплаты сделки и подписания Акта приема-передачи.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При возникновении споров, в случае не достижения Сторонами согласия в процессе переговоров, все неразрешённые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 Третейском Арбитражном суде г. Дубны при Торгово-промышленной палате г. Дубны,, в соответствии с его Положением и Регламентом, рассматривающимися в качестве неотъемлемой части настоящего третейского соглашения, при этом решение данного третейского суда является окончательным, а условия третейского соглашения применяются и являются действительными независимо от других условий настоящего договора.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0" w:line="240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"О несостоятельности (банкротстве)" в актуальной для текущей процедуры банкротства редакции.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80" w:line="240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Настоящий Договор составлен в трех подлинных экземплярах, имеющих равную юридическую силу, по одному для Продавца, Покупателя и органа, осуществляющего государственную регистрацию автотранспортных средств.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120" w:line="240" w:lineRule="auto"/>
        <w:ind w:left="0" w:right="-27" w:firstLine="113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120" w:line="240" w:lineRule="auto"/>
        <w:ind w:left="0" w:right="-27" w:firstLine="113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7.0" w:type="dxa"/>
        <w:jc w:val="left"/>
        <w:tblInd w:w="0.0" w:type="dxa"/>
        <w:tblLayout w:type="fixed"/>
        <w:tblLook w:val="0000"/>
      </w:tblPr>
      <w:tblGrid>
        <w:gridCol w:w="5093"/>
        <w:gridCol w:w="5094"/>
        <w:tblGridChange w:id="0">
          <w:tblGrid>
            <w:gridCol w:w="5093"/>
            <w:gridCol w:w="50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«Превокс Моторс»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 7720509450/774901001,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1047796436720,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111402, г. Москва, ул. Кетчерская, 9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Иванова С.В.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34.0" w:type="dxa"/>
        <w:tblLayout w:type="fixed"/>
        <w:tblLook w:val="0000"/>
      </w:tblPr>
      <w:tblGrid>
        <w:gridCol w:w="5245"/>
        <w:gridCol w:w="4820"/>
        <w:tblGridChange w:id="0">
          <w:tblGrid>
            <w:gridCol w:w="5245"/>
            <w:gridCol w:w="4820"/>
          </w:tblGrid>
        </w:tblGridChange>
      </w:tblGrid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ind w:left="34"/>
              <w:contextualSpacing w:val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65" w:top="426" w:left="1418" w:right="85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