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E9" w:rsidRDefault="00216AE9">
      <w:pPr>
        <w:pStyle w:val="30"/>
        <w:shd w:val="clear" w:color="auto" w:fill="auto"/>
        <w:spacing w:after="0" w:line="274" w:lineRule="exact"/>
        <w:ind w:left="4440"/>
      </w:pPr>
    </w:p>
    <w:p w:rsidR="00216AE9" w:rsidRDefault="00216AE9">
      <w:pPr>
        <w:pStyle w:val="30"/>
        <w:shd w:val="clear" w:color="auto" w:fill="auto"/>
        <w:spacing w:after="0" w:line="274" w:lineRule="exact"/>
        <w:ind w:left="4440"/>
      </w:pPr>
    </w:p>
    <w:p w:rsidR="00580889" w:rsidRDefault="00177CAD">
      <w:pPr>
        <w:pStyle w:val="30"/>
        <w:shd w:val="clear" w:color="auto" w:fill="auto"/>
        <w:spacing w:after="0" w:line="274" w:lineRule="exact"/>
        <w:ind w:left="4440"/>
      </w:pPr>
      <w:r>
        <w:t>ПОЛОЖЕНИЕ</w:t>
      </w:r>
    </w:p>
    <w:p w:rsidR="00580889" w:rsidRDefault="00177CAD">
      <w:pPr>
        <w:pStyle w:val="30"/>
        <w:shd w:val="clear" w:color="auto" w:fill="auto"/>
        <w:spacing w:after="327" w:line="274" w:lineRule="exact"/>
        <w:ind w:left="20"/>
        <w:jc w:val="center"/>
      </w:pPr>
      <w:r>
        <w:t>о порядке, сроках и условиях продажи имущества</w:t>
      </w:r>
      <w:r>
        <w:br/>
        <w:t>ОАО "Энергетик" (ОГРН 1085050009142, ИНН 5050075748),</w:t>
      </w:r>
      <w:r>
        <w:br/>
        <w:t>находящегося в залоге у ПАО Банк "ФК Открытие"</w:t>
      </w:r>
    </w:p>
    <w:p w:rsidR="00580889" w:rsidRDefault="00177CAD">
      <w:pPr>
        <w:pStyle w:val="30"/>
        <w:numPr>
          <w:ilvl w:val="0"/>
          <w:numId w:val="1"/>
        </w:numPr>
        <w:shd w:val="clear" w:color="auto" w:fill="auto"/>
        <w:tabs>
          <w:tab w:val="left" w:pos="4276"/>
        </w:tabs>
        <w:spacing w:after="215" w:line="240" w:lineRule="exact"/>
        <w:ind w:left="3940"/>
        <w:jc w:val="both"/>
      </w:pPr>
      <w:r>
        <w:t>Общие положения</w:t>
      </w:r>
    </w:p>
    <w:p w:rsidR="00580889" w:rsidRDefault="00177CAD">
      <w:pPr>
        <w:pStyle w:val="20"/>
        <w:numPr>
          <w:ilvl w:val="1"/>
          <w:numId w:val="1"/>
        </w:numPr>
        <w:shd w:val="clear" w:color="auto" w:fill="auto"/>
        <w:tabs>
          <w:tab w:val="left" w:pos="1033"/>
        </w:tabs>
        <w:spacing w:before="0"/>
        <w:ind w:firstLine="620"/>
      </w:pPr>
      <w:proofErr w:type="gramStart"/>
      <w:r>
        <w:t>Настоящее Положение о порядке, сроках и условиях продажи имущества ОАО «Энергетик» (ОГРН 1085050009142, ИНН 5050075748), находящегося в залоге у ПАО Банк «ФК Открытие» (далее по тексту - Положение) разработано в соответствии Гражданским кодексом Российской Федерации, ст. ст. 110, 111, 130, 138, 139 Федерального закона РФ «О несостоятельности (банкротстве)» №127-ФЗ от 26.10.2002 г. (далее по тексту - Закон о банкротстве);</w:t>
      </w:r>
      <w:proofErr w:type="gramEnd"/>
      <w:r>
        <w:t xml:space="preserve"> </w:t>
      </w:r>
      <w:proofErr w:type="gramStart"/>
      <w:r>
        <w:t>Приказом Минэкономразвития РФ от 23.07.2015 г.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w:t>
      </w:r>
      <w:proofErr w:type="gramEnd"/>
      <w:r>
        <w:t xml:space="preserve">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 по тексту - Приказ Минэкономразвития РФ № 495).</w:t>
      </w:r>
    </w:p>
    <w:p w:rsidR="00580889" w:rsidRDefault="00177CAD">
      <w:pPr>
        <w:pStyle w:val="20"/>
        <w:numPr>
          <w:ilvl w:val="1"/>
          <w:numId w:val="1"/>
        </w:numPr>
        <w:shd w:val="clear" w:color="auto" w:fill="auto"/>
        <w:tabs>
          <w:tab w:val="left" w:pos="1038"/>
        </w:tabs>
        <w:spacing w:before="0"/>
        <w:ind w:firstLine="620"/>
      </w:pPr>
      <w:r>
        <w:t>Настоящее Положение определяет порядок, сроки и условия продажи имущества (далее по тексту - Имущество или Имущество Должника или Предмет залога), принадлежащего ОАО «Энергетик» (ОГРН 1085050009142, ИНН 5050075748) (далее по тексту - Должник), находящегося в залоге у ПАО Банк «ФК Открытие» (далее по тексту - Банк или залоговый кредитор). Решением Арбитражного суда Московской области от 05.10.2016 года по делу № А41-73638/15 (резолютивная часть) ОАО «Энергетик» признано несостоятельным (банкротом) и в отношении Должника открыто конкурсное производство.</w:t>
      </w:r>
    </w:p>
    <w:p w:rsidR="00580889" w:rsidRDefault="00177CAD">
      <w:pPr>
        <w:pStyle w:val="20"/>
        <w:numPr>
          <w:ilvl w:val="1"/>
          <w:numId w:val="1"/>
        </w:numPr>
        <w:shd w:val="clear" w:color="auto" w:fill="auto"/>
        <w:tabs>
          <w:tab w:val="left" w:pos="1033"/>
        </w:tabs>
        <w:spacing w:before="0"/>
        <w:ind w:firstLine="620"/>
      </w:pPr>
      <w:r>
        <w:t xml:space="preserve">Продажа имущества, являющегося предметом залога, осуществляется путем проведения открытых (по составу участников) электронных торгов в форме аукциона (в отношении имущества, являющегося предметом залога, покупатель не должен выполнять какие-либо условия). </w:t>
      </w:r>
      <w:proofErr w:type="gramStart"/>
      <w:r>
        <w:t>Выигравшим</w:t>
      </w:r>
      <w:proofErr w:type="gramEnd"/>
      <w:r>
        <w:t xml:space="preserve"> аукцион признается участник, предложивший наиболее высокую цену за продаваемое имущество, являющееся предметом залога (победитель аукциона). При проведении торгов используется открытая форма представления предложений о цене имущества.</w:t>
      </w:r>
    </w:p>
    <w:p w:rsidR="00580889" w:rsidRDefault="00177CAD" w:rsidP="00F5618A">
      <w:pPr>
        <w:pStyle w:val="20"/>
        <w:numPr>
          <w:ilvl w:val="1"/>
          <w:numId w:val="1"/>
        </w:numPr>
        <w:shd w:val="clear" w:color="auto" w:fill="auto"/>
        <w:tabs>
          <w:tab w:val="left" w:pos="1038"/>
        </w:tabs>
        <w:spacing w:before="0"/>
        <w:ind w:firstLine="620"/>
      </w:pPr>
      <w:r w:rsidRPr="00517958">
        <w:rPr>
          <w:rStyle w:val="21"/>
          <w:b w:val="0"/>
        </w:rPr>
        <w:t xml:space="preserve">В </w:t>
      </w:r>
      <w:r>
        <w:t>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предоставить конкурсному кредитору, требования которого обеспечены залогом имущества должника, для утверждения соответствующие предложения относительно таких изменений.</w:t>
      </w:r>
      <w:bookmarkStart w:id="0" w:name="_GoBack"/>
      <w:bookmarkEnd w:id="0"/>
      <w:r>
        <w:br w:type="page"/>
      </w:r>
    </w:p>
    <w:p w:rsidR="00580889" w:rsidRDefault="00177CAD">
      <w:pPr>
        <w:pStyle w:val="23"/>
        <w:keepNext/>
        <w:keepLines/>
        <w:numPr>
          <w:ilvl w:val="0"/>
          <w:numId w:val="1"/>
        </w:numPr>
        <w:shd w:val="clear" w:color="auto" w:fill="auto"/>
        <w:tabs>
          <w:tab w:val="left" w:pos="2963"/>
        </w:tabs>
        <w:spacing w:after="189" w:line="240" w:lineRule="exact"/>
        <w:ind w:left="2600"/>
      </w:pPr>
      <w:bookmarkStart w:id="1" w:name="bookmark0"/>
      <w:r>
        <w:lastRenderedPageBreak/>
        <w:t>Имущество должника, подлежащее продаже</w:t>
      </w:r>
      <w:bookmarkEnd w:id="1"/>
    </w:p>
    <w:p w:rsidR="00580889" w:rsidRDefault="00177CAD">
      <w:pPr>
        <w:pStyle w:val="20"/>
        <w:numPr>
          <w:ilvl w:val="1"/>
          <w:numId w:val="1"/>
        </w:numPr>
        <w:shd w:val="clear" w:color="auto" w:fill="auto"/>
        <w:tabs>
          <w:tab w:val="left" w:pos="1107"/>
        </w:tabs>
        <w:spacing w:before="0" w:line="283" w:lineRule="exact"/>
        <w:ind w:firstLine="680"/>
        <w:jc w:val="left"/>
      </w:pPr>
      <w:r>
        <w:t>Инвентаризация и оценка имущества Должника проведена. Продаже подлежит следующее имущество Должника, являющееся предметом залога Банка: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6773"/>
        <w:gridCol w:w="2698"/>
      </w:tblGrid>
      <w:tr w:rsidR="00580889">
        <w:trPr>
          <w:trHeight w:hRule="exact" w:val="571"/>
          <w:jc w:val="center"/>
        </w:trPr>
        <w:tc>
          <w:tcPr>
            <w:tcW w:w="710"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after="60" w:line="240" w:lineRule="exact"/>
              <w:ind w:left="260"/>
              <w:jc w:val="left"/>
            </w:pPr>
            <w:r>
              <w:rPr>
                <w:rStyle w:val="24"/>
              </w:rPr>
              <w:t>№</w:t>
            </w:r>
          </w:p>
          <w:p w:rsidR="00580889" w:rsidRDefault="00177CAD">
            <w:pPr>
              <w:pStyle w:val="20"/>
              <w:framePr w:w="10181" w:wrap="notBeside" w:vAnchor="text" w:hAnchor="text" w:xAlign="center" w:y="1"/>
              <w:shd w:val="clear" w:color="auto" w:fill="auto"/>
              <w:spacing w:before="60" w:line="240" w:lineRule="exact"/>
              <w:ind w:left="260"/>
              <w:jc w:val="left"/>
            </w:pPr>
            <w:proofErr w:type="gramStart"/>
            <w:r>
              <w:rPr>
                <w:rStyle w:val="25"/>
              </w:rPr>
              <w:t>п</w:t>
            </w:r>
            <w:proofErr w:type="gramEnd"/>
            <w:r>
              <w:rPr>
                <w:rStyle w:val="25"/>
              </w:rPr>
              <w:t>/п</w:t>
            </w:r>
          </w:p>
        </w:tc>
        <w:tc>
          <w:tcPr>
            <w:tcW w:w="6773"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left"/>
            </w:pPr>
            <w:r>
              <w:rPr>
                <w:rStyle w:val="25"/>
              </w:rPr>
              <w:t>Наименование, краткая характеристика и местоположение</w:t>
            </w:r>
          </w:p>
        </w:tc>
        <w:tc>
          <w:tcPr>
            <w:tcW w:w="2698" w:type="dxa"/>
            <w:tcBorders>
              <w:top w:val="single" w:sz="4" w:space="0" w:color="auto"/>
              <w:left w:val="single" w:sz="4" w:space="0" w:color="auto"/>
              <w:righ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line="278" w:lineRule="exact"/>
              <w:jc w:val="center"/>
            </w:pPr>
            <w:r>
              <w:rPr>
                <w:rStyle w:val="25"/>
              </w:rPr>
              <w:t>Начальная продажная цена</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1</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- 7, 35 (под СЗ и С4), номер объекта: 9, проектная (планируемая) площадь: 15,125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2</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- 7, 35 (под С1 и С2), номер объекта: 20, проектная (планируемая) площадь: 16,5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3</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- 7, 35 (под СЗ и С4), номер объекта: 1, проектная (планируемая) площадь: 15,125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4</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- 4, 20 (под СЗ и С4), номер объекта: 1, проектная (планируемая) площадь: 15,125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5</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- 7, 35 (под С1 и С2), номер объекта: 1, проектная (планируемая) площадь: 16,5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1666"/>
          <w:jc w:val="center"/>
        </w:trPr>
        <w:tc>
          <w:tcPr>
            <w:tcW w:w="710" w:type="dxa"/>
            <w:tcBorders>
              <w:top w:val="single" w:sz="4" w:space="0" w:color="auto"/>
              <w:lef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ind w:left="260"/>
              <w:jc w:val="left"/>
            </w:pPr>
            <w:r>
              <w:rPr>
                <w:rStyle w:val="25"/>
              </w:rPr>
              <w:t>6</w:t>
            </w:r>
          </w:p>
        </w:tc>
        <w:tc>
          <w:tcPr>
            <w:tcW w:w="6773" w:type="dxa"/>
            <w:tcBorders>
              <w:top w:val="single" w:sz="4" w:space="0" w:color="auto"/>
              <w:left w:val="single" w:sz="4" w:space="0" w:color="auto"/>
            </w:tcBorders>
            <w:shd w:val="clear" w:color="auto" w:fill="FFFFFF"/>
            <w:vAlign w:val="bottom"/>
          </w:tcPr>
          <w:p w:rsidR="00580889" w:rsidRDefault="00177CAD">
            <w:pPr>
              <w:pStyle w:val="20"/>
              <w:framePr w:w="10181" w:wrap="notBeside" w:vAnchor="text" w:hAnchor="text" w:xAlign="center" w:y="1"/>
              <w:shd w:val="clear" w:color="auto" w:fill="auto"/>
              <w:spacing w:before="0"/>
              <w:jc w:val="left"/>
            </w:pPr>
            <w:r>
              <w:rPr>
                <w:rStyle w:val="24"/>
              </w:rPr>
              <w:t xml:space="preserve">Права по договору № 21/271 участия в долевом строительстве многоквартирного дома от 07.10.2010 г. Объект долевого строительства: Помещение - </w:t>
            </w:r>
            <w:proofErr w:type="spellStart"/>
            <w:r>
              <w:rPr>
                <w:rStyle w:val="24"/>
              </w:rPr>
              <w:t>машиноместо</w:t>
            </w:r>
            <w:proofErr w:type="spellEnd"/>
            <w:r>
              <w:rPr>
                <w:rStyle w:val="24"/>
              </w:rPr>
              <w:t xml:space="preserve">, номер этажа: - 4, 20 (под С1 и С2), номер объекта: 1, проектная (планируемая) площадь: 21,125 </w:t>
            </w:r>
            <w:proofErr w:type="spellStart"/>
            <w:r>
              <w:rPr>
                <w:rStyle w:val="24"/>
              </w:rPr>
              <w:t>кв</w:t>
            </w:r>
            <w:proofErr w:type="gramStart"/>
            <w:r>
              <w:rPr>
                <w:rStyle w:val="24"/>
              </w:rPr>
              <w:t>.м</w:t>
            </w:r>
            <w:proofErr w:type="spellEnd"/>
            <w:proofErr w:type="gramEnd"/>
            <w:r>
              <w:rPr>
                <w:rStyle w:val="24"/>
              </w:rPr>
              <w:t>, местоположение: Московская область, г. Щелково, ул. Советская, д. 60</w:t>
            </w:r>
          </w:p>
        </w:tc>
        <w:tc>
          <w:tcPr>
            <w:tcW w:w="2698" w:type="dxa"/>
            <w:tcBorders>
              <w:top w:val="single" w:sz="4" w:space="0" w:color="auto"/>
              <w:left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4"/>
              </w:rPr>
              <w:t>195 530,00 рублей</w:t>
            </w:r>
          </w:p>
        </w:tc>
      </w:tr>
      <w:tr w:rsidR="00580889">
        <w:trPr>
          <w:trHeight w:hRule="exact" w:val="408"/>
          <w:jc w:val="center"/>
        </w:trPr>
        <w:tc>
          <w:tcPr>
            <w:tcW w:w="7483" w:type="dxa"/>
            <w:gridSpan w:val="2"/>
            <w:tcBorders>
              <w:top w:val="single" w:sz="4" w:space="0" w:color="auto"/>
              <w:left w:val="single" w:sz="4" w:space="0" w:color="auto"/>
              <w:bottom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left"/>
            </w:pPr>
            <w:r>
              <w:rPr>
                <w:rStyle w:val="25"/>
              </w:rPr>
              <w:t>ИТОГО по лоту:</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580889" w:rsidRDefault="00177CAD">
            <w:pPr>
              <w:pStyle w:val="20"/>
              <w:framePr w:w="10181" w:wrap="notBeside" w:vAnchor="text" w:hAnchor="text" w:xAlign="center" w:y="1"/>
              <w:shd w:val="clear" w:color="auto" w:fill="auto"/>
              <w:spacing w:before="0" w:line="240" w:lineRule="exact"/>
              <w:jc w:val="center"/>
            </w:pPr>
            <w:r>
              <w:rPr>
                <w:rStyle w:val="25"/>
              </w:rPr>
              <w:t>1 173 180,00 рублей</w:t>
            </w:r>
          </w:p>
        </w:tc>
      </w:tr>
    </w:tbl>
    <w:p w:rsidR="00580889" w:rsidRDefault="00580889">
      <w:pPr>
        <w:framePr w:w="10181" w:wrap="notBeside" w:vAnchor="text" w:hAnchor="text" w:xAlign="center" w:y="1"/>
        <w:rPr>
          <w:sz w:val="2"/>
          <w:szCs w:val="2"/>
        </w:rPr>
      </w:pPr>
    </w:p>
    <w:p w:rsidR="00580889" w:rsidRDefault="00580889">
      <w:pPr>
        <w:rPr>
          <w:sz w:val="2"/>
          <w:szCs w:val="2"/>
        </w:rPr>
      </w:pPr>
    </w:p>
    <w:p w:rsidR="00580889" w:rsidRDefault="00177CAD">
      <w:pPr>
        <w:pStyle w:val="20"/>
        <w:numPr>
          <w:ilvl w:val="1"/>
          <w:numId w:val="1"/>
        </w:numPr>
        <w:shd w:val="clear" w:color="auto" w:fill="auto"/>
        <w:tabs>
          <w:tab w:val="left" w:pos="1226"/>
          <w:tab w:val="left" w:pos="2571"/>
          <w:tab w:val="left" w:pos="3813"/>
          <w:tab w:val="left" w:pos="5325"/>
          <w:tab w:val="left" w:pos="6429"/>
          <w:tab w:val="left" w:pos="6774"/>
          <w:tab w:val="left" w:pos="8368"/>
          <w:tab w:val="left" w:pos="8709"/>
        </w:tabs>
        <w:spacing w:before="244"/>
        <w:ind w:left="680"/>
      </w:pPr>
      <w:r>
        <w:t>Имущество</w:t>
      </w:r>
      <w:r>
        <w:tab/>
        <w:t>Должника,</w:t>
      </w:r>
      <w:r>
        <w:tab/>
        <w:t>подлежащее</w:t>
      </w:r>
      <w:r>
        <w:tab/>
        <w:t>продаже</w:t>
      </w:r>
      <w:r>
        <w:tab/>
        <w:t>в</w:t>
      </w:r>
      <w:r>
        <w:tab/>
        <w:t>соответствии</w:t>
      </w:r>
      <w:r>
        <w:tab/>
        <w:t>с</w:t>
      </w:r>
      <w:r>
        <w:tab/>
        <w:t>настоящим</w:t>
      </w:r>
    </w:p>
    <w:p w:rsidR="00580889" w:rsidRDefault="00177CAD">
      <w:pPr>
        <w:pStyle w:val="20"/>
        <w:shd w:val="clear" w:color="auto" w:fill="auto"/>
        <w:spacing w:before="0"/>
        <w:jc w:val="left"/>
      </w:pPr>
      <w:r>
        <w:t xml:space="preserve">Положением, выставляется на торги единым лотом, состав лота указан </w:t>
      </w:r>
      <w:proofErr w:type="gramStart"/>
      <w:r>
        <w:t>в</w:t>
      </w:r>
      <w:proofErr w:type="gramEnd"/>
      <w:r>
        <w:t xml:space="preserve"> и. 2.1. </w:t>
      </w:r>
      <w:proofErr w:type="gramStart"/>
      <w:r>
        <w:t>настоящего</w:t>
      </w:r>
      <w:proofErr w:type="gramEnd"/>
      <w:r>
        <w:t xml:space="preserve"> Положения.</w:t>
      </w:r>
    </w:p>
    <w:p w:rsidR="00580889" w:rsidRDefault="00177CAD">
      <w:pPr>
        <w:pStyle w:val="20"/>
        <w:numPr>
          <w:ilvl w:val="1"/>
          <w:numId w:val="1"/>
        </w:numPr>
        <w:shd w:val="clear" w:color="auto" w:fill="auto"/>
        <w:tabs>
          <w:tab w:val="left" w:pos="1226"/>
          <w:tab w:val="left" w:pos="2571"/>
          <w:tab w:val="left" w:pos="3813"/>
          <w:tab w:val="left" w:pos="5325"/>
          <w:tab w:val="left" w:pos="6429"/>
          <w:tab w:val="left" w:pos="6774"/>
          <w:tab w:val="left" w:pos="8368"/>
          <w:tab w:val="left" w:pos="8709"/>
        </w:tabs>
        <w:spacing w:before="0"/>
        <w:ind w:left="680"/>
      </w:pPr>
      <w:r>
        <w:t>Имущество</w:t>
      </w:r>
      <w:r>
        <w:tab/>
        <w:t>Должника,</w:t>
      </w:r>
      <w:r>
        <w:tab/>
        <w:t>подлежащее</w:t>
      </w:r>
      <w:r>
        <w:tab/>
        <w:t>продаже</w:t>
      </w:r>
      <w:r>
        <w:tab/>
        <w:t>в</w:t>
      </w:r>
      <w:r>
        <w:tab/>
        <w:t>соответствии</w:t>
      </w:r>
      <w:r>
        <w:tab/>
        <w:t>с</w:t>
      </w:r>
      <w:r>
        <w:tab/>
        <w:t>настоящим</w:t>
      </w:r>
    </w:p>
    <w:p w:rsidR="00580889" w:rsidRDefault="00177CAD">
      <w:pPr>
        <w:pStyle w:val="20"/>
        <w:shd w:val="clear" w:color="auto" w:fill="auto"/>
        <w:spacing w:before="0"/>
        <w:jc w:val="left"/>
      </w:pPr>
      <w:r>
        <w:t>Положением не может продаваться единым лотом с другим имуществом принадлежащим Должнику.</w:t>
      </w:r>
    </w:p>
    <w:p w:rsidR="00580889" w:rsidRDefault="00177CAD">
      <w:pPr>
        <w:pStyle w:val="23"/>
        <w:keepNext/>
        <w:keepLines/>
        <w:numPr>
          <w:ilvl w:val="0"/>
          <w:numId w:val="1"/>
        </w:numPr>
        <w:shd w:val="clear" w:color="auto" w:fill="auto"/>
        <w:tabs>
          <w:tab w:val="left" w:pos="4005"/>
        </w:tabs>
        <w:spacing w:after="256" w:line="240" w:lineRule="exact"/>
        <w:ind w:left="3640"/>
      </w:pPr>
      <w:bookmarkStart w:id="2" w:name="bookmark1"/>
      <w:r>
        <w:lastRenderedPageBreak/>
        <w:t>Организатор торгов</w:t>
      </w:r>
      <w:bookmarkEnd w:id="2"/>
    </w:p>
    <w:p w:rsidR="00580889" w:rsidRDefault="00177CAD">
      <w:pPr>
        <w:pStyle w:val="20"/>
        <w:numPr>
          <w:ilvl w:val="1"/>
          <w:numId w:val="1"/>
        </w:numPr>
        <w:shd w:val="clear" w:color="auto" w:fill="auto"/>
        <w:tabs>
          <w:tab w:val="left" w:pos="1076"/>
        </w:tabs>
        <w:spacing w:before="0"/>
        <w:ind w:firstLine="600"/>
      </w:pPr>
      <w:r>
        <w:t>В качестве организатора торгов по продаже имущества выступает конкурсный управляющий ОАО «Энергетик» Вдовин О.Ф.</w:t>
      </w:r>
    </w:p>
    <w:p w:rsidR="00580889" w:rsidRDefault="00177CAD">
      <w:pPr>
        <w:pStyle w:val="20"/>
        <w:shd w:val="clear" w:color="auto" w:fill="auto"/>
        <w:spacing w:before="0"/>
        <w:ind w:firstLine="600"/>
      </w:pPr>
      <w:r>
        <w:t>Организатор торгов выполняет все функции, предусмотренные ст. 110 Закон о банкротстве и Приказом Минэкономразвития РФ № 495.</w:t>
      </w:r>
    </w:p>
    <w:p w:rsidR="00580889" w:rsidRDefault="00177CAD">
      <w:pPr>
        <w:pStyle w:val="20"/>
        <w:numPr>
          <w:ilvl w:val="1"/>
          <w:numId w:val="1"/>
        </w:numPr>
        <w:shd w:val="clear" w:color="auto" w:fill="auto"/>
        <w:tabs>
          <w:tab w:val="left" w:pos="1076"/>
        </w:tabs>
        <w:spacing w:before="0" w:line="254" w:lineRule="exact"/>
        <w:ind w:firstLine="600"/>
      </w:pPr>
      <w:r>
        <w:t>Не позднее, чем за тридцать дней до даты проведения торгов по продаже имущества организатор торгов обязан опубликовать сообщение о продаже имущества, являющегося предметом залога, в порядке, установленном ст. 28 Закона о банкротстве.</w:t>
      </w:r>
    </w:p>
    <w:p w:rsidR="00580889" w:rsidRDefault="00177CAD">
      <w:pPr>
        <w:pStyle w:val="20"/>
        <w:numPr>
          <w:ilvl w:val="1"/>
          <w:numId w:val="1"/>
        </w:numPr>
        <w:shd w:val="clear" w:color="auto" w:fill="auto"/>
        <w:tabs>
          <w:tab w:val="left" w:pos="1076"/>
        </w:tabs>
        <w:spacing w:before="0" w:after="267"/>
        <w:ind w:firstLine="600"/>
      </w:pPr>
      <w:r>
        <w:t xml:space="preserve">Место проведения торгов - электронная площадка, соответствующая требованиям, установленным Приказом Министерства экономического развития Российской Федерации № 495 от 23 июля 2015 года - АО «Российский аукционный дом» (ИНН 7838430413), адрес (место нахождения): 190000, Санкт-Петербург, </w:t>
      </w:r>
      <w:proofErr w:type="spellStart"/>
      <w:r>
        <w:t>Гривцова</w:t>
      </w:r>
      <w:proofErr w:type="spellEnd"/>
      <w:r>
        <w:t xml:space="preserve"> пер., д. 5, лит. В.</w:t>
      </w:r>
    </w:p>
    <w:p w:rsidR="00580889" w:rsidRDefault="00177CAD">
      <w:pPr>
        <w:pStyle w:val="23"/>
        <w:keepNext/>
        <w:keepLines/>
        <w:numPr>
          <w:ilvl w:val="0"/>
          <w:numId w:val="1"/>
        </w:numPr>
        <w:shd w:val="clear" w:color="auto" w:fill="auto"/>
        <w:tabs>
          <w:tab w:val="left" w:pos="1560"/>
        </w:tabs>
        <w:spacing w:after="265" w:line="240" w:lineRule="exact"/>
        <w:ind w:left="1200"/>
      </w:pPr>
      <w:bookmarkStart w:id="3" w:name="bookmark2"/>
      <w:r>
        <w:t>Сообщение о продаже имущества и задаток для участия в торгах</w:t>
      </w:r>
      <w:bookmarkEnd w:id="3"/>
    </w:p>
    <w:p w:rsidR="00580889" w:rsidRDefault="00177CAD">
      <w:pPr>
        <w:pStyle w:val="20"/>
        <w:numPr>
          <w:ilvl w:val="1"/>
          <w:numId w:val="1"/>
        </w:numPr>
        <w:shd w:val="clear" w:color="auto" w:fill="auto"/>
        <w:tabs>
          <w:tab w:val="left" w:pos="1076"/>
        </w:tabs>
        <w:spacing w:before="0" w:line="269" w:lineRule="exact"/>
        <w:ind w:firstLine="600"/>
      </w:pPr>
      <w:r w:rsidRPr="00517958">
        <w:rPr>
          <w:rStyle w:val="21"/>
          <w:b w:val="0"/>
        </w:rPr>
        <w:t>В</w:t>
      </w:r>
      <w:r>
        <w:rPr>
          <w:rStyle w:val="21"/>
        </w:rPr>
        <w:t xml:space="preserve"> </w:t>
      </w:r>
      <w:r>
        <w:t>сообщении о продаже имущества, являющегося предметом залога, должны содержаться сведения, предусмотренные п. 10 ст. 110 Закон о банкротстве.</w:t>
      </w:r>
    </w:p>
    <w:p w:rsidR="00580889" w:rsidRDefault="00177CAD">
      <w:pPr>
        <w:pStyle w:val="20"/>
        <w:numPr>
          <w:ilvl w:val="1"/>
          <w:numId w:val="1"/>
        </w:numPr>
        <w:shd w:val="clear" w:color="auto" w:fill="auto"/>
        <w:tabs>
          <w:tab w:val="left" w:pos="1076"/>
        </w:tabs>
        <w:spacing w:before="0" w:after="263" w:line="269" w:lineRule="exact"/>
        <w:ind w:firstLine="600"/>
      </w:pPr>
      <w:r>
        <w:t>Размер задатка для участия в торгах составляет 20 (Двадцать) процентов от начальной цены продажи имущества, установленной для первых, повторных торгов в форме аукциона.</w:t>
      </w:r>
    </w:p>
    <w:p w:rsidR="00580889" w:rsidRDefault="00177CAD">
      <w:pPr>
        <w:pStyle w:val="23"/>
        <w:keepNext/>
        <w:keepLines/>
        <w:numPr>
          <w:ilvl w:val="0"/>
          <w:numId w:val="1"/>
        </w:numPr>
        <w:shd w:val="clear" w:color="auto" w:fill="auto"/>
        <w:tabs>
          <w:tab w:val="left" w:pos="3115"/>
        </w:tabs>
        <w:spacing w:after="261" w:line="240" w:lineRule="exact"/>
        <w:ind w:left="2760"/>
      </w:pPr>
      <w:bookmarkStart w:id="4" w:name="bookmark3"/>
      <w:r>
        <w:t>Порядок и сроки проведения торгов</w:t>
      </w:r>
      <w:bookmarkEnd w:id="4"/>
    </w:p>
    <w:p w:rsidR="00580889" w:rsidRDefault="00177CAD">
      <w:pPr>
        <w:pStyle w:val="20"/>
        <w:numPr>
          <w:ilvl w:val="1"/>
          <w:numId w:val="1"/>
        </w:numPr>
        <w:shd w:val="clear" w:color="auto" w:fill="auto"/>
        <w:tabs>
          <w:tab w:val="left" w:pos="1076"/>
        </w:tabs>
        <w:spacing w:before="0"/>
        <w:ind w:firstLine="600"/>
      </w:pPr>
      <w:r>
        <w:t xml:space="preserve">При проведении торгов используется открытая форма представления предложений о цене имущества, то есть предложения о цене имущества </w:t>
      </w:r>
      <w:proofErr w:type="gramStart"/>
      <w:r>
        <w:t>заявляются</w:t>
      </w:r>
      <w:proofErr w:type="gramEnd"/>
      <w:r>
        <w:t xml:space="preserve"> участниками торгов на электронной площадке открыто.</w:t>
      </w:r>
    </w:p>
    <w:p w:rsidR="00580889" w:rsidRDefault="00177CAD">
      <w:pPr>
        <w:pStyle w:val="20"/>
        <w:numPr>
          <w:ilvl w:val="1"/>
          <w:numId w:val="1"/>
        </w:numPr>
        <w:shd w:val="clear" w:color="auto" w:fill="auto"/>
        <w:tabs>
          <w:tab w:val="left" w:pos="1076"/>
        </w:tabs>
        <w:spacing w:before="0"/>
        <w:ind w:firstLine="600"/>
      </w:pPr>
      <w:r>
        <w:t>Аукцион проводится путем повышения начальной цены продажи имущества на величину, кратную величине «шага аукциона».</w:t>
      </w:r>
    </w:p>
    <w:p w:rsidR="00580889" w:rsidRDefault="00177CAD">
      <w:pPr>
        <w:pStyle w:val="20"/>
        <w:numPr>
          <w:ilvl w:val="1"/>
          <w:numId w:val="1"/>
        </w:numPr>
        <w:shd w:val="clear" w:color="auto" w:fill="auto"/>
        <w:tabs>
          <w:tab w:val="left" w:pos="1076"/>
        </w:tabs>
        <w:spacing w:before="0"/>
        <w:ind w:firstLine="600"/>
      </w:pPr>
      <w:r>
        <w:t xml:space="preserve">«Шаг аукциона» (величина повышения начальной продажной цены Имущества) устанавливается в размере 5 </w:t>
      </w:r>
      <w:r>
        <w:rPr>
          <w:rStyle w:val="2BookAntiqua115pt"/>
        </w:rPr>
        <w:t>%</w:t>
      </w:r>
      <w:r>
        <w:t xml:space="preserve"> начальной продажной цены Имущества.</w:t>
      </w:r>
    </w:p>
    <w:p w:rsidR="00580889" w:rsidRDefault="00177CAD">
      <w:pPr>
        <w:pStyle w:val="20"/>
        <w:numPr>
          <w:ilvl w:val="1"/>
          <w:numId w:val="1"/>
        </w:numPr>
        <w:shd w:val="clear" w:color="auto" w:fill="auto"/>
        <w:tabs>
          <w:tab w:val="left" w:pos="1076"/>
        </w:tabs>
        <w:spacing w:before="0"/>
        <w:ind w:firstLine="600"/>
      </w:pPr>
      <w:r>
        <w:t xml:space="preserve">В случае признания торгов </w:t>
      </w:r>
      <w:proofErr w:type="gramStart"/>
      <w:r>
        <w:t>несостоявшимися</w:t>
      </w:r>
      <w:proofErr w:type="gramEnd"/>
      <w:r>
        <w:t xml:space="preserve"> организатор торгов проводит повторные торги.</w:t>
      </w:r>
    </w:p>
    <w:p w:rsidR="00580889" w:rsidRDefault="00177CAD">
      <w:pPr>
        <w:pStyle w:val="20"/>
        <w:numPr>
          <w:ilvl w:val="1"/>
          <w:numId w:val="1"/>
        </w:numPr>
        <w:shd w:val="clear" w:color="auto" w:fill="auto"/>
        <w:tabs>
          <w:tab w:val="left" w:pos="1076"/>
        </w:tabs>
        <w:spacing w:before="0"/>
        <w:ind w:firstLine="600"/>
      </w:pPr>
      <w:r>
        <w:t>При проведении повторных торгов начальная цена продажи имущества/лота на повторных торгах устанавливается в размере на 10 (Десять) процентов ниже начальной цены продажи имущества/лота на первоначальных торгах.</w:t>
      </w:r>
    </w:p>
    <w:p w:rsidR="00580889" w:rsidRDefault="00177CAD">
      <w:pPr>
        <w:pStyle w:val="20"/>
        <w:numPr>
          <w:ilvl w:val="1"/>
          <w:numId w:val="1"/>
        </w:numPr>
        <w:shd w:val="clear" w:color="auto" w:fill="auto"/>
        <w:tabs>
          <w:tab w:val="left" w:pos="1076"/>
        </w:tabs>
        <w:spacing w:before="0"/>
        <w:ind w:firstLine="600"/>
      </w:pPr>
      <w:r>
        <w:t>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p w:rsidR="00580889" w:rsidRDefault="00177CAD">
      <w:pPr>
        <w:pStyle w:val="20"/>
        <w:shd w:val="clear" w:color="auto" w:fill="auto"/>
        <w:spacing w:before="0"/>
        <w:ind w:firstLine="600"/>
      </w:pPr>
      <w:r>
        <w:t>Денежные средства, вырученные от реализации Имущества, перечисляются в пользу Банка с учетом положений ст. 138 Закона о банкротстве.</w:t>
      </w:r>
    </w:p>
    <w:p w:rsidR="00580889" w:rsidRDefault="00177CAD">
      <w:pPr>
        <w:pStyle w:val="20"/>
        <w:shd w:val="clear" w:color="auto" w:fill="auto"/>
        <w:spacing w:before="0"/>
        <w:ind w:firstLine="600"/>
      </w:pPr>
      <w:r>
        <w:t xml:space="preserve">Неудовлетворенные за счет </w:t>
      </w:r>
      <w:proofErr w:type="gramStart"/>
      <w:r>
        <w:t>стоимости предмета залога требования кредиторов</w:t>
      </w:r>
      <w:proofErr w:type="gramEnd"/>
      <w:r>
        <w:t xml:space="preserve"> по обязательствам, обеспеченным залогом имущества должника, удовлетворяются в составе требований кредиторов третьей очереди.</w:t>
      </w:r>
    </w:p>
    <w:p w:rsidR="00580889" w:rsidRDefault="00177CAD">
      <w:pPr>
        <w:pStyle w:val="20"/>
        <w:numPr>
          <w:ilvl w:val="1"/>
          <w:numId w:val="1"/>
        </w:numPr>
        <w:shd w:val="clear" w:color="auto" w:fill="auto"/>
        <w:tabs>
          <w:tab w:val="left" w:pos="1076"/>
        </w:tabs>
        <w:spacing w:before="0"/>
        <w:ind w:firstLine="600"/>
      </w:pPr>
      <w:r>
        <w:t>В случае признания несостоявшимися повторных торгов по продаже Имущества Банк вправе оставить Имущество за собой по цене на 10% (Десять процентов) ниже начальной продажной цены Имущества на повторных торгах.</w:t>
      </w:r>
    </w:p>
    <w:p w:rsidR="00580889" w:rsidRDefault="00177CAD">
      <w:pPr>
        <w:pStyle w:val="20"/>
        <w:shd w:val="clear" w:color="auto" w:fill="auto"/>
        <w:spacing w:before="0"/>
        <w:ind w:firstLine="600"/>
      </w:pPr>
      <w:r>
        <w:t>При этом конкурсный управляющий обязан в письменном виде предложить конкурсному кредитору (Банку) оставить предмет залога за собой.</w:t>
      </w:r>
    </w:p>
    <w:p w:rsidR="00580889" w:rsidRDefault="00177CAD">
      <w:pPr>
        <w:pStyle w:val="20"/>
        <w:numPr>
          <w:ilvl w:val="1"/>
          <w:numId w:val="1"/>
        </w:numPr>
        <w:shd w:val="clear" w:color="auto" w:fill="auto"/>
        <w:tabs>
          <w:tab w:val="left" w:pos="1076"/>
        </w:tabs>
        <w:spacing w:before="0"/>
        <w:ind w:firstLine="600"/>
      </w:pPr>
      <w:proofErr w:type="gramStart"/>
      <w:r>
        <w:t xml:space="preserve">В случае принятия Банком решения об оставлении Имущества за собой конкурсный управляющий в течение 5 рабочих дней с момента перечисления Банком денежных средств на специальный банковский счёт (с учетом положений </w:t>
      </w:r>
      <w:proofErr w:type="spellStart"/>
      <w:r>
        <w:t>п.п</w:t>
      </w:r>
      <w:proofErr w:type="spellEnd"/>
      <w:r>
        <w:t>. 2-2.1 ст.138 ФЗ «О несостоятельности (банкротстве)») обязан заключить с ПАО Банк «ФК Открытие» соответствующее Соглашение об оставлении предмета залога за конкурсным кредитором, подписывает передаточный акт и</w:t>
      </w:r>
      <w:proofErr w:type="gramEnd"/>
    </w:p>
    <w:p w:rsidR="00580889" w:rsidRDefault="00177CAD">
      <w:pPr>
        <w:pStyle w:val="20"/>
        <w:shd w:val="clear" w:color="auto" w:fill="auto"/>
        <w:spacing w:before="0"/>
        <w:jc w:val="left"/>
      </w:pPr>
      <w:r>
        <w:lastRenderedPageBreak/>
        <w:t>осуществляет фактическую передачу Имущества.</w:t>
      </w:r>
    </w:p>
    <w:p w:rsidR="00580889" w:rsidRDefault="00177CAD">
      <w:pPr>
        <w:pStyle w:val="20"/>
        <w:numPr>
          <w:ilvl w:val="1"/>
          <w:numId w:val="1"/>
        </w:numPr>
        <w:shd w:val="clear" w:color="auto" w:fill="auto"/>
        <w:tabs>
          <w:tab w:val="left" w:pos="1057"/>
        </w:tabs>
        <w:spacing w:before="0" w:after="267"/>
        <w:ind w:firstLine="600"/>
      </w:pPr>
      <w:proofErr w:type="gramStart"/>
      <w:r>
        <w:t>Если в течение 30 календарных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(в случае неполучения конкурсным управляющим заявления залогового кредитора об оставлении заложенного имущества за собой, а также при неоплате залоговым кредитором суммы в соответствии с п. 4.1 ст. 138 Закона о банкротстве), предмет залога</w:t>
      </w:r>
      <w:proofErr w:type="gramEnd"/>
      <w:r>
        <w:t xml:space="preserve"> подлежит продаже посредством публичного предложения.</w:t>
      </w:r>
    </w:p>
    <w:p w:rsidR="00580889" w:rsidRDefault="00177CAD">
      <w:pPr>
        <w:pStyle w:val="23"/>
        <w:keepNext/>
        <w:keepLines/>
        <w:numPr>
          <w:ilvl w:val="0"/>
          <w:numId w:val="1"/>
        </w:numPr>
        <w:shd w:val="clear" w:color="auto" w:fill="auto"/>
        <w:tabs>
          <w:tab w:val="left" w:pos="1355"/>
        </w:tabs>
        <w:spacing w:after="206" w:line="240" w:lineRule="exact"/>
        <w:ind w:left="1000"/>
      </w:pPr>
      <w:bookmarkStart w:id="5" w:name="bookmark4"/>
      <w:r>
        <w:t>Порядок продажи имущества посредством публичного предложения</w:t>
      </w:r>
      <w:bookmarkEnd w:id="5"/>
    </w:p>
    <w:p w:rsidR="00580889" w:rsidRDefault="00177CAD">
      <w:pPr>
        <w:pStyle w:val="20"/>
        <w:numPr>
          <w:ilvl w:val="1"/>
          <w:numId w:val="1"/>
        </w:numPr>
        <w:shd w:val="clear" w:color="auto" w:fill="auto"/>
        <w:tabs>
          <w:tab w:val="left" w:pos="1057"/>
        </w:tabs>
        <w:spacing w:before="0"/>
        <w:ind w:firstLine="600"/>
      </w:pPr>
      <w:r>
        <w:t>Имущество Должника, подлежащее продаже посредством публичного предложения, указанное в п. 2.1. настоящего Положения не может продаваться единым лотом с имуществом Должника, не находящимся в залоге.</w:t>
      </w:r>
    </w:p>
    <w:p w:rsidR="00580889" w:rsidRDefault="00177CAD">
      <w:pPr>
        <w:pStyle w:val="20"/>
        <w:shd w:val="clear" w:color="auto" w:fill="auto"/>
        <w:spacing w:before="0"/>
        <w:ind w:firstLine="600"/>
      </w:pPr>
      <w:r>
        <w:t xml:space="preserve">При продаже имущества Должника посредством публичного предложения в сообщении о проведении торгов, в том числе указываются величина </w:t>
      </w:r>
      <w:proofErr w:type="gramStart"/>
      <w:r>
        <w:t>снижения начальной цены продажи имущества должника</w:t>
      </w:r>
      <w:proofErr w:type="gramEnd"/>
      <w:r>
        <w:t xml:space="preserve"> и срок, по истечении которого последовательно снижается указанная начальная цена.</w:t>
      </w:r>
    </w:p>
    <w:p w:rsidR="00580889" w:rsidRDefault="00177CAD">
      <w:pPr>
        <w:pStyle w:val="20"/>
        <w:numPr>
          <w:ilvl w:val="1"/>
          <w:numId w:val="1"/>
        </w:numPr>
        <w:shd w:val="clear" w:color="auto" w:fill="auto"/>
        <w:tabs>
          <w:tab w:val="left" w:pos="1081"/>
        </w:tabs>
        <w:spacing w:before="0"/>
        <w:ind w:firstLine="600"/>
      </w:pPr>
      <w:r>
        <w:t>Торги посредством публичного предложения проводятся в следующем порядке:</w:t>
      </w:r>
    </w:p>
    <w:p w:rsidR="00580889" w:rsidRDefault="00177CAD">
      <w:pPr>
        <w:pStyle w:val="20"/>
        <w:shd w:val="clear" w:color="auto" w:fill="auto"/>
        <w:spacing w:before="0" w:line="317" w:lineRule="exact"/>
        <w:ind w:firstLine="740"/>
      </w:pPr>
      <w:r>
        <w:t xml:space="preserve">- начальная цена продажи имущества Должника посредством публичного предложения устанавливается в размере начальной цены, указанной в сообщении о продаже имущества Должника на повторных торгах и в настоящем случае </w:t>
      </w:r>
      <w:r>
        <w:rPr>
          <w:rStyle w:val="21"/>
        </w:rPr>
        <w:t>составляет 1 055 862,00 руб.;</w:t>
      </w:r>
    </w:p>
    <w:p w:rsidR="00580889" w:rsidRDefault="00177CAD">
      <w:pPr>
        <w:pStyle w:val="20"/>
        <w:numPr>
          <w:ilvl w:val="0"/>
          <w:numId w:val="2"/>
        </w:numPr>
        <w:shd w:val="clear" w:color="auto" w:fill="auto"/>
        <w:tabs>
          <w:tab w:val="left" w:pos="769"/>
        </w:tabs>
        <w:spacing w:before="0"/>
        <w:ind w:firstLine="600"/>
      </w:pPr>
      <w:r>
        <w:t xml:space="preserve">величина </w:t>
      </w:r>
      <w:proofErr w:type="gramStart"/>
      <w:r>
        <w:t>снижения начальной цены продажи имущества Должника</w:t>
      </w:r>
      <w:proofErr w:type="gramEnd"/>
      <w:r>
        <w:t xml:space="preserve"> посредством публичного предложения определяется </w:t>
      </w:r>
      <w:r>
        <w:rPr>
          <w:rStyle w:val="21"/>
        </w:rPr>
        <w:t xml:space="preserve">в размере 10 (Десять) процентов </w:t>
      </w:r>
      <w:r>
        <w:t>от начальной цены продажи имущества/лота установленной для продажи посредством публичного предложения;</w:t>
      </w:r>
    </w:p>
    <w:p w:rsidR="00580889" w:rsidRDefault="00177CAD">
      <w:pPr>
        <w:pStyle w:val="20"/>
        <w:numPr>
          <w:ilvl w:val="0"/>
          <w:numId w:val="2"/>
        </w:numPr>
        <w:shd w:val="clear" w:color="auto" w:fill="auto"/>
        <w:tabs>
          <w:tab w:val="left" w:pos="769"/>
        </w:tabs>
        <w:spacing w:before="0"/>
        <w:ind w:firstLine="600"/>
      </w:pPr>
      <w:r>
        <w:t xml:space="preserve">срок, по истечении которого последовательно снижается начальная цена продажи имущества на </w:t>
      </w:r>
      <w:r>
        <w:rPr>
          <w:rStyle w:val="21"/>
        </w:rPr>
        <w:t xml:space="preserve">10 </w:t>
      </w:r>
      <w:r>
        <w:t xml:space="preserve">(Десять) процентов устанавливается </w:t>
      </w:r>
      <w:r>
        <w:rPr>
          <w:rStyle w:val="21"/>
        </w:rPr>
        <w:t>в размере 7 (Семь) календарных дней.</w:t>
      </w:r>
    </w:p>
    <w:p w:rsidR="00580889" w:rsidRDefault="00177CAD">
      <w:pPr>
        <w:pStyle w:val="20"/>
        <w:numPr>
          <w:ilvl w:val="0"/>
          <w:numId w:val="2"/>
        </w:numPr>
        <w:shd w:val="clear" w:color="auto" w:fill="auto"/>
        <w:tabs>
          <w:tab w:val="left" w:pos="769"/>
        </w:tabs>
        <w:spacing w:before="0"/>
        <w:ind w:firstLine="600"/>
      </w:pPr>
      <w:r>
        <w:t xml:space="preserve">минимальная цена продажи («цена отсечения») имущества устанавливается в размере </w:t>
      </w:r>
      <w:r>
        <w:rPr>
          <w:rStyle w:val="21"/>
        </w:rPr>
        <w:t>не ниже 844 689,60 руб.;</w:t>
      </w:r>
    </w:p>
    <w:p w:rsidR="00580889" w:rsidRDefault="00177CAD">
      <w:pPr>
        <w:pStyle w:val="20"/>
        <w:numPr>
          <w:ilvl w:val="0"/>
          <w:numId w:val="2"/>
        </w:numPr>
        <w:shd w:val="clear" w:color="auto" w:fill="auto"/>
        <w:tabs>
          <w:tab w:val="left" w:pos="769"/>
        </w:tabs>
        <w:spacing w:before="0"/>
        <w:ind w:firstLine="600"/>
      </w:pPr>
      <w:r>
        <w:t>задаток в размере 20 (Двадцать) процентов от цены продажи имущества, сложившейся на определенный период (задаток должен поступить на расчетный счет организатора торгов не позднее окончания срока представления заявок).</w:t>
      </w:r>
    </w:p>
    <w:p w:rsidR="00580889" w:rsidRDefault="00177CAD">
      <w:pPr>
        <w:pStyle w:val="20"/>
        <w:numPr>
          <w:ilvl w:val="0"/>
          <w:numId w:val="2"/>
        </w:numPr>
        <w:shd w:val="clear" w:color="auto" w:fill="auto"/>
        <w:tabs>
          <w:tab w:val="left" w:pos="769"/>
        </w:tabs>
        <w:spacing w:before="0"/>
        <w:ind w:firstLine="600"/>
      </w:pPr>
      <w:r>
        <w:t>дата подведения итогов торгов - спустя 2 (Два) рабочих дня после окончания последнего периода.</w:t>
      </w:r>
    </w:p>
    <w:p w:rsidR="00580889" w:rsidRDefault="00177CAD">
      <w:pPr>
        <w:pStyle w:val="20"/>
        <w:numPr>
          <w:ilvl w:val="1"/>
          <w:numId w:val="1"/>
        </w:numPr>
        <w:shd w:val="clear" w:color="auto" w:fill="auto"/>
        <w:tabs>
          <w:tab w:val="left" w:pos="1057"/>
        </w:tabs>
        <w:spacing w:before="0"/>
        <w:ind w:firstLine="600"/>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Федеральным законом от 26.10.2002 </w:t>
      </w:r>
      <w:r>
        <w:rPr>
          <w:lang w:val="en-US" w:eastAsia="en-US" w:bidi="en-US"/>
        </w:rPr>
        <w:t>N</w:t>
      </w:r>
      <w:r w:rsidRPr="00216AE9">
        <w:rPr>
          <w:lang w:eastAsia="en-US" w:bidi="en-US"/>
        </w:rPr>
        <w:t xml:space="preserve"> </w:t>
      </w:r>
      <w:r>
        <w:t>127-ФЗ "О несостоятельности (банкротстве)" и Приказом Минэкономразвития РФ № 495.</w:t>
      </w:r>
    </w:p>
    <w:p w:rsidR="00580889" w:rsidRDefault="00177CAD">
      <w:pPr>
        <w:pStyle w:val="20"/>
        <w:shd w:val="clear" w:color="auto" w:fill="auto"/>
        <w:spacing w:before="0"/>
        <w:ind w:firstLine="600"/>
      </w:pPr>
      <w:r>
        <w:t xml:space="preserve">Победитель торгов по продаже имущества Должника посредством публичного предложения определяется в соответствии с Федеральным законом от 26.10.2002 </w:t>
      </w:r>
      <w:r>
        <w:rPr>
          <w:lang w:val="en-US" w:eastAsia="en-US" w:bidi="en-US"/>
        </w:rPr>
        <w:t>N</w:t>
      </w:r>
      <w:r w:rsidRPr="00216AE9">
        <w:rPr>
          <w:lang w:eastAsia="en-US" w:bidi="en-US"/>
        </w:rPr>
        <w:t xml:space="preserve"> </w:t>
      </w:r>
      <w:r>
        <w:t>127-ФЗ "О несостоятельности (банкротстве)".</w:t>
      </w:r>
    </w:p>
    <w:p w:rsidR="00580889" w:rsidRDefault="00177CAD">
      <w:pPr>
        <w:pStyle w:val="20"/>
        <w:numPr>
          <w:ilvl w:val="1"/>
          <w:numId w:val="1"/>
        </w:numPr>
        <w:shd w:val="clear" w:color="auto" w:fill="auto"/>
        <w:tabs>
          <w:tab w:val="left" w:pos="1052"/>
        </w:tabs>
        <w:spacing w:before="0"/>
        <w:ind w:firstLine="600"/>
        <w:sectPr w:rsidR="00580889">
          <w:footerReference w:type="default" r:id="rId8"/>
          <w:pgSz w:w="11900" w:h="16840"/>
          <w:pgMar w:top="315" w:right="765" w:bottom="1988" w:left="954" w:header="0" w:footer="3" w:gutter="0"/>
          <w:cols w:space="720"/>
          <w:noEndnote/>
          <w:docGrid w:linePitch="360"/>
        </w:sectPr>
      </w:pPr>
      <w:r>
        <w:t xml:space="preserve">Банк вправе оставить предмет залога </w:t>
      </w:r>
      <w:proofErr w:type="gramStart"/>
      <w:r>
        <w:t>за собой в ходе торгов по продаже имущества Должника посредством публичного предложения на любом этапе снижения цены имущества при отсутствии</w:t>
      </w:r>
      <w:proofErr w:type="gramEnd"/>
      <w:r>
        <w:t xml:space="preserve"> заявок на участие в торгах по цене, установленной для этого этапа снижения цены имущества.</w:t>
      </w:r>
    </w:p>
    <w:p w:rsidR="00580889" w:rsidRDefault="00177CAD">
      <w:pPr>
        <w:pStyle w:val="20"/>
        <w:shd w:val="clear" w:color="auto" w:fill="auto"/>
        <w:spacing w:before="0"/>
        <w:ind w:firstLine="600"/>
      </w:pPr>
      <w:proofErr w:type="gramStart"/>
      <w:r>
        <w:lastRenderedPageBreak/>
        <w:t xml:space="preserve">Конкурсный управляющий Должника в течение 3 (Трех) рабочих дней с даты получения протокола (или решения) о признании торгов (посредством публичного предложения) несостоявшимися обязан письменно уведомить Банк, путем направления заказного письма с уведомлением о вручении (по адресу: 115114, г. Москва, ул. </w:t>
      </w:r>
      <w:proofErr w:type="spellStart"/>
      <w:r>
        <w:t>Летниковская</w:t>
      </w:r>
      <w:proofErr w:type="spellEnd"/>
      <w:r>
        <w:t>, д. 2, стр. 4) о том, что Банк вправе оставить заложенное имущество за собой.</w:t>
      </w:r>
      <w:proofErr w:type="gramEnd"/>
      <w:r>
        <w:t xml:space="preserve"> Уведомление о праве Банка оставить заложенное имущество за собой так же в течение 3 (Трех) рабочих дней направляется Конкурсным управляющим электронной почтой по двум адресам: </w:t>
      </w:r>
      <w:hyperlink r:id="rId9" w:history="1">
        <w:r>
          <w:rPr>
            <w:rStyle w:val="a3"/>
            <w:lang w:val="en-US" w:eastAsia="en-US" w:bidi="en-US"/>
          </w:rPr>
          <w:t>Aleksandrova</w:t>
        </w:r>
        <w:r w:rsidRPr="00216AE9">
          <w:rPr>
            <w:rStyle w:val="a3"/>
            <w:lang w:eastAsia="en-US" w:bidi="en-US"/>
          </w:rPr>
          <w:t>_</w:t>
        </w:r>
        <w:r>
          <w:rPr>
            <w:rStyle w:val="a3"/>
            <w:lang w:val="en-US" w:eastAsia="en-US" w:bidi="en-US"/>
          </w:rPr>
          <w:t>ON</w:t>
        </w:r>
        <w:r w:rsidRPr="00216AE9">
          <w:rPr>
            <w:rStyle w:val="a3"/>
            <w:lang w:eastAsia="en-US" w:bidi="en-US"/>
          </w:rPr>
          <w:t>@</w:t>
        </w:r>
        <w:r>
          <w:rPr>
            <w:rStyle w:val="a3"/>
            <w:lang w:val="en-US" w:eastAsia="en-US" w:bidi="en-US"/>
          </w:rPr>
          <w:t>open</w:t>
        </w:r>
        <w:r w:rsidRPr="00216AE9">
          <w:rPr>
            <w:rStyle w:val="a3"/>
            <w:lang w:eastAsia="en-US" w:bidi="en-US"/>
          </w:rPr>
          <w:t>.</w:t>
        </w:r>
        <w:r>
          <w:rPr>
            <w:rStyle w:val="a3"/>
            <w:lang w:val="en-US" w:eastAsia="en-US" w:bidi="en-US"/>
          </w:rPr>
          <w:t>ru</w:t>
        </w:r>
      </w:hyperlink>
      <w:r w:rsidRPr="00216AE9">
        <w:rPr>
          <w:lang w:eastAsia="en-US" w:bidi="en-US"/>
        </w:rPr>
        <w:t xml:space="preserve">, </w:t>
      </w:r>
      <w:hyperlink r:id="rId10" w:history="1">
        <w:r>
          <w:rPr>
            <w:rStyle w:val="a3"/>
            <w:lang w:val="en-US" w:eastAsia="en-US" w:bidi="en-US"/>
          </w:rPr>
          <w:t>info</w:t>
        </w:r>
        <w:r w:rsidRPr="00216AE9">
          <w:rPr>
            <w:rStyle w:val="a3"/>
            <w:lang w:eastAsia="en-US" w:bidi="en-US"/>
          </w:rPr>
          <w:t>@</w:t>
        </w:r>
        <w:r>
          <w:rPr>
            <w:rStyle w:val="a3"/>
            <w:lang w:val="en-US" w:eastAsia="en-US" w:bidi="en-US"/>
          </w:rPr>
          <w:t>open</w:t>
        </w:r>
        <w:r w:rsidRPr="00216AE9">
          <w:rPr>
            <w:rStyle w:val="a3"/>
            <w:lang w:eastAsia="en-US" w:bidi="en-US"/>
          </w:rPr>
          <w:t>.</w:t>
        </w:r>
        <w:proofErr w:type="spellStart"/>
        <w:r>
          <w:rPr>
            <w:rStyle w:val="a3"/>
            <w:lang w:val="en-US" w:eastAsia="en-US" w:bidi="en-US"/>
          </w:rPr>
          <w:t>ru</w:t>
        </w:r>
        <w:proofErr w:type="spellEnd"/>
      </w:hyperlink>
      <w:r w:rsidRPr="00216AE9">
        <w:rPr>
          <w:lang w:eastAsia="en-US" w:bidi="en-US"/>
        </w:rPr>
        <w:t>.</w:t>
      </w:r>
    </w:p>
    <w:p w:rsidR="00580889" w:rsidRDefault="00177CAD">
      <w:pPr>
        <w:pStyle w:val="20"/>
        <w:shd w:val="clear" w:color="auto" w:fill="auto"/>
        <w:spacing w:before="0"/>
        <w:ind w:firstLine="600"/>
      </w:pPr>
      <w:r>
        <w:t>При этом</w:t>
      </w:r>
      <w:proofErr w:type="gramStart"/>
      <w:r>
        <w:t>,</w:t>
      </w:r>
      <w:proofErr w:type="gramEnd"/>
      <w:r>
        <w:t xml:space="preserve"> в уведомлении Конкурсного управляющего о праве Банка оставить заложенное имущество за собой в обязательном порядке должны быть указаны реквизиты для перечисления Банком денежных средств и расчет суммы для перечисления в соответствии с положением ст. 138 Закона о банкротстве.</w:t>
      </w:r>
    </w:p>
    <w:p w:rsidR="00580889" w:rsidRDefault="00177CAD">
      <w:pPr>
        <w:pStyle w:val="20"/>
        <w:shd w:val="clear" w:color="auto" w:fill="auto"/>
        <w:spacing w:before="0"/>
        <w:ind w:firstLine="600"/>
      </w:pPr>
      <w:r>
        <w:t>Банк в течение 10 (Десяти) рабочих дней после получения от конкурсного управляющего подлинника уведомления (на бумажном носителе) о праве оставить заложенное имущество за собой, направляет конкурсному управляющему Должника заявление об оставлении заложенного имущества.</w:t>
      </w:r>
    </w:p>
    <w:p w:rsidR="00580889" w:rsidRDefault="00177CAD">
      <w:pPr>
        <w:pStyle w:val="20"/>
        <w:shd w:val="clear" w:color="auto" w:fill="auto"/>
        <w:spacing w:before="0"/>
        <w:ind w:firstLine="600"/>
      </w:pPr>
      <w:r>
        <w:t xml:space="preserve">Банк в течение 10 (Десяти) рабочих дней </w:t>
      </w:r>
      <w:proofErr w:type="gramStart"/>
      <w:r>
        <w:t>с даты направления</w:t>
      </w:r>
      <w:proofErr w:type="gramEnd"/>
      <w:r>
        <w:t xml:space="preserve"> конкурсному управляющему заявления об оставлении имущества за собой перечисляет денежные средства (по реквизитам, указанным в уведомлении о праве Банка оставить заложенное имущество за собой) в размере, определяемом в соответствии со ст. 138 Закона о банкротстве.</w:t>
      </w:r>
    </w:p>
    <w:p w:rsidR="00580889" w:rsidRDefault="00177CAD">
      <w:pPr>
        <w:pStyle w:val="20"/>
        <w:shd w:val="clear" w:color="auto" w:fill="auto"/>
        <w:spacing w:before="0" w:after="267"/>
        <w:ind w:firstLine="600"/>
      </w:pPr>
      <w:r>
        <w:t>В течение 10 (Десяти) рабочих дней с момента поступления от Банка денежных средств на банковский счёт, конкурсный управляющий обязан заключить с Банком соответствующее Соглашение об оставлении предмета залога за конкурсным кредитором (Банком), подписать передаточный акт и осуществить фактическую передачу имущества Должника (предмета залога).</w:t>
      </w:r>
    </w:p>
    <w:p w:rsidR="00580889" w:rsidRDefault="00177CAD">
      <w:pPr>
        <w:pStyle w:val="23"/>
        <w:keepNext/>
        <w:keepLines/>
        <w:numPr>
          <w:ilvl w:val="0"/>
          <w:numId w:val="1"/>
        </w:numPr>
        <w:shd w:val="clear" w:color="auto" w:fill="auto"/>
        <w:tabs>
          <w:tab w:val="left" w:pos="1920"/>
        </w:tabs>
        <w:spacing w:after="201" w:line="240" w:lineRule="exact"/>
        <w:ind w:left="1560"/>
      </w:pPr>
      <w:bookmarkStart w:id="6" w:name="bookmark5"/>
      <w:r>
        <w:t>Оформление итогов торгов и заключительные положения</w:t>
      </w:r>
      <w:bookmarkEnd w:id="6"/>
    </w:p>
    <w:p w:rsidR="00580889" w:rsidRDefault="00177CAD">
      <w:pPr>
        <w:pStyle w:val="20"/>
        <w:numPr>
          <w:ilvl w:val="1"/>
          <w:numId w:val="1"/>
        </w:numPr>
        <w:shd w:val="clear" w:color="auto" w:fill="auto"/>
        <w:tabs>
          <w:tab w:val="left" w:pos="1057"/>
        </w:tabs>
        <w:spacing w:before="0"/>
        <w:ind w:firstLine="600"/>
      </w:pPr>
      <w:r>
        <w:t>Продажа Имущества оформляется договором купли-продажи, который заключается Конкурсным управляющим Должника с победителем торгов. Оформление права собственности на Имущество осуществляется после его полной оплаты в соответствии с законодательством РФ и договором купли-продажи Имущества. Все связанные с таким оформлением расходы полностью возлагаются на Покупателя.</w:t>
      </w:r>
    </w:p>
    <w:p w:rsidR="00580889" w:rsidRDefault="00177CAD">
      <w:pPr>
        <w:pStyle w:val="20"/>
        <w:numPr>
          <w:ilvl w:val="1"/>
          <w:numId w:val="1"/>
        </w:numPr>
        <w:shd w:val="clear" w:color="auto" w:fill="auto"/>
        <w:tabs>
          <w:tab w:val="left" w:pos="1052"/>
        </w:tabs>
        <w:spacing w:before="0"/>
        <w:ind w:firstLine="600"/>
      </w:pPr>
      <w:r>
        <w:t>Во всем, что не предусмотрено настоящим Положением, Конкурсный управляющий Должника и организатор торгов действуют по своему усмотрению, руководствуясь действующим законодательством РФ.</w:t>
      </w:r>
    </w:p>
    <w:p w:rsidR="00580889" w:rsidRDefault="00177CAD">
      <w:pPr>
        <w:pStyle w:val="20"/>
        <w:numPr>
          <w:ilvl w:val="1"/>
          <w:numId w:val="1"/>
        </w:numPr>
        <w:shd w:val="clear" w:color="auto" w:fill="auto"/>
        <w:tabs>
          <w:tab w:val="left" w:pos="1057"/>
        </w:tabs>
        <w:spacing w:before="0"/>
        <w:ind w:firstLine="600"/>
      </w:pPr>
      <w:r>
        <w:t>Конкурсный управляющий предпринимает меры по обеспечению сохранности Имущества.</w:t>
      </w:r>
    </w:p>
    <w:p w:rsidR="00580889" w:rsidRDefault="00177CAD">
      <w:pPr>
        <w:pStyle w:val="20"/>
        <w:numPr>
          <w:ilvl w:val="1"/>
          <w:numId w:val="1"/>
        </w:numPr>
        <w:shd w:val="clear" w:color="auto" w:fill="auto"/>
        <w:tabs>
          <w:tab w:val="left" w:pos="1033"/>
        </w:tabs>
        <w:spacing w:before="0"/>
        <w:ind w:firstLine="600"/>
      </w:pPr>
      <w:r>
        <w:t>ПАО Банк «ФК Открытие» имеет право внести в настоящее Положение изменения либо предложить его новую редакцию, в том числе, в случае изменения законодательства Российской Федерации.</w:t>
      </w:r>
    </w:p>
    <w:sectPr w:rsidR="00580889">
      <w:pgSz w:w="11900" w:h="16840"/>
      <w:pgMar w:top="437" w:right="960" w:bottom="437"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B8" w:rsidRDefault="00F454B8">
      <w:r>
        <w:separator/>
      </w:r>
    </w:p>
  </w:endnote>
  <w:endnote w:type="continuationSeparator" w:id="0">
    <w:p w:rsidR="00F454B8" w:rsidRDefault="00F4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89" w:rsidRDefault="007229D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3835400</wp:posOffset>
              </wp:positionH>
              <wp:positionV relativeFrom="page">
                <wp:posOffset>9692005</wp:posOffset>
              </wp:positionV>
              <wp:extent cx="7112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889" w:rsidRDefault="00177CAD">
                          <w:pPr>
                            <w:pStyle w:val="a6"/>
                            <w:shd w:val="clear" w:color="auto" w:fill="auto"/>
                            <w:spacing w:line="240" w:lineRule="auto"/>
                          </w:pPr>
                          <w:r>
                            <w:rPr>
                              <w:rStyle w:val="11pt"/>
                              <w:b w:val="0"/>
                              <w:bCs w:val="0"/>
                            </w:rPr>
                            <w:fldChar w:fldCharType="begin"/>
                          </w:r>
                          <w:r>
                            <w:rPr>
                              <w:rStyle w:val="11pt"/>
                              <w:b w:val="0"/>
                              <w:bCs w:val="0"/>
                            </w:rPr>
                            <w:instrText xml:space="preserve"> PAGE \* MERGEFORMAT </w:instrText>
                          </w:r>
                          <w:r>
                            <w:rPr>
                              <w:rStyle w:val="11pt"/>
                              <w:b w:val="0"/>
                              <w:bCs w:val="0"/>
                            </w:rPr>
                            <w:fldChar w:fldCharType="separate"/>
                          </w:r>
                          <w:r w:rsidR="00F5618A">
                            <w:rPr>
                              <w:rStyle w:val="11pt"/>
                              <w:b w:val="0"/>
                              <w:bCs w:val="0"/>
                              <w:noProof/>
                            </w:rPr>
                            <w:t>1</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pt;margin-top:763.15pt;width:5.6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" filled="f" stroked="f">
              <v:textbox style="mso-fit-shape-to-text:t" inset="0,0,0,0">
                <w:txbxContent>
                  <w:p w:rsidR="00580889" w:rsidRDefault="00177CAD">
                    <w:pPr>
                      <w:pStyle w:val="a6"/>
                      <w:shd w:val="clear" w:color="auto" w:fill="auto"/>
                      <w:spacing w:line="240" w:lineRule="auto"/>
                    </w:pPr>
                    <w:r>
                      <w:rPr>
                        <w:rStyle w:val="11pt"/>
                        <w:b w:val="0"/>
                        <w:bCs w:val="0"/>
                      </w:rPr>
                      <w:fldChar w:fldCharType="begin"/>
                    </w:r>
                    <w:r>
                      <w:rPr>
                        <w:rStyle w:val="11pt"/>
                        <w:b w:val="0"/>
                        <w:bCs w:val="0"/>
                      </w:rPr>
                      <w:instrText xml:space="preserve"> PAGE \* MERGEFORMAT </w:instrText>
                    </w:r>
                    <w:r>
                      <w:rPr>
                        <w:rStyle w:val="11pt"/>
                        <w:b w:val="0"/>
                        <w:bCs w:val="0"/>
                      </w:rPr>
                      <w:fldChar w:fldCharType="separate"/>
                    </w:r>
                    <w:r w:rsidR="00F5618A">
                      <w:rPr>
                        <w:rStyle w:val="11pt"/>
                        <w:b w:val="0"/>
                        <w:bCs w:val="0"/>
                        <w:noProof/>
                      </w:rPr>
                      <w:t>1</w:t>
                    </w:r>
                    <w:r>
                      <w:rPr>
                        <w:rStyle w:val="11pt"/>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B8" w:rsidRDefault="00F454B8"/>
  </w:footnote>
  <w:footnote w:type="continuationSeparator" w:id="0">
    <w:p w:rsidR="00F454B8" w:rsidRDefault="00F454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77B9"/>
    <w:multiLevelType w:val="multilevel"/>
    <w:tmpl w:val="749AD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1B6162"/>
    <w:multiLevelType w:val="multilevel"/>
    <w:tmpl w:val="815A00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89"/>
    <w:rsid w:val="00177CAD"/>
    <w:rsid w:val="00216AE9"/>
    <w:rsid w:val="00517958"/>
    <w:rsid w:val="00580889"/>
    <w:rsid w:val="007229DC"/>
    <w:rsid w:val="00B7085E"/>
    <w:rsid w:val="00D23F9A"/>
    <w:rsid w:val="00F454B8"/>
    <w:rsid w:val="00F5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11pt">
    <w:name w:val="Колонтитул + 11 pt"/>
    <w:basedOn w:val="a5"/>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ookAntiqua115pt">
    <w:name w:val="Основной текст (2) + Book Antiqua;11;5 pt;Полужирный;Курсив"/>
    <w:basedOn w:val="2"/>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paragraph" w:customStyle="1" w:styleId="a4">
    <w:name w:val="Подпись к картинке"/>
    <w:basedOn w:val="a"/>
    <w:link w:val="Exact"/>
    <w:pPr>
      <w:shd w:val="clear" w:color="auto" w:fill="FFFFFF"/>
      <w:spacing w:line="254" w:lineRule="exac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480" w:line="259" w:lineRule="exact"/>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Calibri" w:eastAsia="Calibri" w:hAnsi="Calibri" w:cs="Calibri"/>
      <w:sz w:val="21"/>
      <w:szCs w:val="21"/>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customStyle="1" w:styleId="23">
    <w:name w:val="Заголовок №2"/>
    <w:basedOn w:val="a"/>
    <w:link w:val="22"/>
    <w:pPr>
      <w:shd w:val="clear" w:color="auto" w:fill="FFFFFF"/>
      <w:spacing w:after="300" w:line="0" w:lineRule="atLeast"/>
      <w:jc w:val="both"/>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11pt">
    <w:name w:val="Колонтитул + 11 pt"/>
    <w:basedOn w:val="a5"/>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ookAntiqua115pt">
    <w:name w:val="Основной текст (2) + Book Antiqua;11;5 pt;Полужирный;Курсив"/>
    <w:basedOn w:val="2"/>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paragraph" w:customStyle="1" w:styleId="a4">
    <w:name w:val="Подпись к картинке"/>
    <w:basedOn w:val="a"/>
    <w:link w:val="Exact"/>
    <w:pPr>
      <w:shd w:val="clear" w:color="auto" w:fill="FFFFFF"/>
      <w:spacing w:line="254" w:lineRule="exac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480" w:line="259" w:lineRule="exact"/>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Calibri" w:eastAsia="Calibri" w:hAnsi="Calibri" w:cs="Calibri"/>
      <w:sz w:val="21"/>
      <w:szCs w:val="21"/>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customStyle="1" w:styleId="23">
    <w:name w:val="Заголовок №2"/>
    <w:basedOn w:val="a"/>
    <w:link w:val="22"/>
    <w:pPr>
      <w:shd w:val="clear" w:color="auto" w:fill="FFFFFF"/>
      <w:spacing w:after="300" w:line="0" w:lineRule="atLeast"/>
      <w:jc w:val="both"/>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mailto:Aleksandrova_ON@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WCi2/H2g44S+S0VlLnPy6j43iF39E1UHSsMbZZKaidQ=</DigestValue>
    </Reference>
    <Reference URI="#idOfficeObject" Type="http://www.w3.org/2000/09/xmldsig#Object">
      <DigestMethod Algorithm="urn:ietf:params:xml:ns:cpxmlsec:algorithms:gostr3411"/>
      <DigestValue>CbsbIEJFEsYb5cxWZ8qMff1DlzxEQSTrB4c2DJxs27I=</DigestValue>
    </Reference>
    <Reference URI="#idSignedProperties" Type="http://uri.etsi.org/01903#SignedProperties">
      <Transforms>
        <Transform Algorithm="http://www.w3.org/TR/2001/REC-xml-c14n-20010315"/>
      </Transforms>
      <DigestMethod Algorithm="urn:ietf:params:xml:ns:cpxmlsec:algorithms:gostr3411"/>
      <DigestValue>3jM0W2KuDsWzQx2n6dHj13W5y7RZc/6zP51Fy5/KwMU=</DigestValue>
    </Reference>
  </SignedInfo>
  <SignatureValue>XVIRsvniI+7kklHSJHV0WOkwSyC5AWABVXrZS+FVgofLU4VHQ1Gv5kc7+54AuRvz
MqD494h8N16p9jo4h91nrw==</SignatureValue>
  <KeyInfo>
    <X509Data>
      <X509Certificate>MIII8TCCCKCgAwIBAgIRAK9j4HrEDMiA6BEpFjubxx8wCAYGKoUDAgIDMIIBcTEe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kNCeICLQn9CkICLQodCa0JEg0JrQvtC90YLRg9GAIjAeFw0xODAyMjAxMDIxMDBa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UEwWsNLT26hpprm2F9Og0/GaRsg=</DigestValue>
      </Reference>
      <Reference URI="/word/document.xml?ContentType=application/vnd.openxmlformats-officedocument.wordprocessingml.document.main+xml">
        <DigestMethod Algorithm="http://www.w3.org/2000/09/xmldsig#sha1"/>
        <DigestValue>kQrgXSiQz7mqJERhbnPrdIPQ23E=</DigestValue>
      </Reference>
      <Reference URI="/word/endnotes.xml?ContentType=application/vnd.openxmlformats-officedocument.wordprocessingml.endnotes+xml">
        <DigestMethod Algorithm="http://www.w3.org/2000/09/xmldsig#sha1"/>
        <DigestValue>+4nY9+B+GZDh6NPhtH8+amBV2N8=</DigestValue>
      </Reference>
      <Reference URI="/word/fontTable.xml?ContentType=application/vnd.openxmlformats-officedocument.wordprocessingml.fontTable+xml">
        <DigestMethod Algorithm="http://www.w3.org/2000/09/xmldsig#sha1"/>
        <DigestValue>bbDVKwH5i2VNcHDygCnxFVxyz/k=</DigestValue>
      </Reference>
      <Reference URI="/word/footer1.xml?ContentType=application/vnd.openxmlformats-officedocument.wordprocessingml.footer+xml">
        <DigestMethod Algorithm="http://www.w3.org/2000/09/xmldsig#sha1"/>
        <DigestValue>ZHZxTs3shCEkKtS1BJ7SrhtPaYQ=</DigestValue>
      </Reference>
      <Reference URI="/word/footnotes.xml?ContentType=application/vnd.openxmlformats-officedocument.wordprocessingml.footnotes+xml">
        <DigestMethod Algorithm="http://www.w3.org/2000/09/xmldsig#sha1"/>
        <DigestValue>kzIIAvYdb2hNrbjIPCWtgPk1MSc=</DigestValue>
      </Reference>
      <Reference URI="/word/numbering.xml?ContentType=application/vnd.openxmlformats-officedocument.wordprocessingml.numbering+xml">
        <DigestMethod Algorithm="http://www.w3.org/2000/09/xmldsig#sha1"/>
        <DigestValue>x6HUGDZ2AIuDjoXxfFv9Gno/Ppg=</DigestValue>
      </Reference>
      <Reference URI="/word/settings.xml?ContentType=application/vnd.openxmlformats-officedocument.wordprocessingml.settings+xml">
        <DigestMethod Algorithm="http://www.w3.org/2000/09/xmldsig#sha1"/>
        <DigestValue>Ley1o1A8yPEc1c0DS9iGgVGL/IE=</DigestValue>
      </Reference>
      <Reference URI="/word/styles.xml?ContentType=application/vnd.openxmlformats-officedocument.wordprocessingml.styles+xml">
        <DigestMethod Algorithm="http://www.w3.org/2000/09/xmldsig#sha1"/>
        <DigestValue>RNblHYVA99eovLiVEISQBpOADJs=</DigestValue>
      </Reference>
      <Reference URI="/word/stylesWithEffects.xml?ContentType=application/vnd.ms-word.stylesWithEffects+xml">
        <DigestMethod Algorithm="http://www.w3.org/2000/09/xmldsig#sha1"/>
        <DigestValue>+dA+6oabJ803Tepr5vHDzh+IOJs=</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2018-10-24T07:16:38Z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2018-10-24T07:16:38Z</xd:SigningTime>
          <xd:SigningCertificate>
            <xd:Cert>
              <xd:CertDigest>
                <DigestMethod Algorithm="http://www.w3.org/2000/09/xmldsig#sha1"/>
                <DigestValue>f4rzKilM7qBJWdc1Zx7pLTMzV9s=</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233133489637616786293835921733191452447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Жигалов Алексей Федорович</cp:lastModifiedBy>
  <cp:revision>4</cp:revision>
  <dcterms:created xsi:type="dcterms:W3CDTF">2018-10-18T13:01:00Z</dcterms:created>
  <dcterms:modified xsi:type="dcterms:W3CDTF">2018-10-19T09:57:00Z</dcterms:modified>
</cp:coreProperties>
</file>