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AF" w:rsidRDefault="0096232A">
      <w:pPr>
        <w:widowControl w:val="0"/>
        <w:ind w:right="39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о внесении задатка   № _____________</w:t>
      </w:r>
    </w:p>
    <w:p w:rsidR="00696FAF" w:rsidRDefault="00696FAF">
      <w:pPr>
        <w:widowControl w:val="0"/>
        <w:ind w:right="397"/>
        <w:jc w:val="center"/>
        <w:rPr>
          <w:b/>
          <w:sz w:val="22"/>
          <w:szCs w:val="22"/>
        </w:rPr>
      </w:pPr>
    </w:p>
    <w:p w:rsidR="00696FAF" w:rsidRDefault="0096232A">
      <w:pPr>
        <w:tabs>
          <w:tab w:val="right" w:pos="9099"/>
        </w:tabs>
        <w:ind w:right="397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>
        <w:rPr>
          <w:sz w:val="22"/>
          <w:szCs w:val="22"/>
        </w:rPr>
        <w:t>Москва</w:t>
      </w:r>
      <w:r>
        <w:rPr>
          <w:sz w:val="22"/>
          <w:szCs w:val="22"/>
        </w:rPr>
        <w:tab/>
        <w:t>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______________ 201  года.</w:t>
      </w:r>
    </w:p>
    <w:p w:rsidR="00696FAF" w:rsidRDefault="00696FAF">
      <w:pPr>
        <w:ind w:right="397"/>
        <w:rPr>
          <w:sz w:val="22"/>
          <w:szCs w:val="22"/>
        </w:rPr>
      </w:pPr>
    </w:p>
    <w:p w:rsidR="00696FAF" w:rsidRDefault="0096232A">
      <w:pPr>
        <w:ind w:right="397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Финансовый </w:t>
      </w:r>
      <w:r>
        <w:rPr>
          <w:sz w:val="22"/>
          <w:szCs w:val="22"/>
        </w:rPr>
        <w:t xml:space="preserve">управляющий в деле о банкротстве Борисова Вячеслава Михайловича (16.09.1955 г.р., место рождения: дер. Ельня, Можайского района Московской области, ИНН 771519551693, СНИЛС 001-468-957-36, адрес: 127572, Москва, Алтуфьевское шоссе, дом 93, кв. 111) </w:t>
      </w:r>
      <w:proofErr w:type="spellStart"/>
      <w:r>
        <w:rPr>
          <w:sz w:val="22"/>
          <w:szCs w:val="22"/>
        </w:rPr>
        <w:t>Криксин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Фёдор Игоревич (ИНН 772465206700, регистрационный номер 13312, СНИЛС 128-543-892-86, fedor@vargi.org; т.:(495)6423825), член СРО НП ОАУ «Авангард» (105062, г. Москва, ул. Макаренко, д. 5, стр. 1, офис 3, ИНН 7705479434, ОГРН 1027705031320), действующий на </w:t>
      </w:r>
      <w:r>
        <w:rPr>
          <w:sz w:val="22"/>
          <w:szCs w:val="22"/>
        </w:rPr>
        <w:t>основании Решения Арбитражного суда города Москвы от 10.11.2016 года по делу №А40-157277/16</w:t>
      </w:r>
      <w:r>
        <w:rPr>
          <w:sz w:val="22"/>
          <w:szCs w:val="22"/>
        </w:rPr>
        <w:t xml:space="preserve">, именуемый в дальнейшем </w:t>
      </w:r>
      <w:r>
        <w:rPr>
          <w:b/>
          <w:sz w:val="22"/>
          <w:szCs w:val="22"/>
        </w:rPr>
        <w:t>«Организатор торгов»</w:t>
      </w:r>
      <w:r>
        <w:rPr>
          <w:sz w:val="22"/>
          <w:szCs w:val="22"/>
        </w:rPr>
        <w:t>, с одной стороны, и</w:t>
      </w:r>
    </w:p>
    <w:p w:rsidR="00696FAF" w:rsidRDefault="0096232A">
      <w:pPr>
        <w:ind w:right="397"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proofErr w:type="gramStart"/>
      <w:r>
        <w:rPr>
          <w:sz w:val="22"/>
          <w:szCs w:val="22"/>
        </w:rPr>
        <w:t>_,в</w:t>
      </w:r>
      <w:proofErr w:type="gramEnd"/>
      <w:r>
        <w:rPr>
          <w:sz w:val="22"/>
          <w:szCs w:val="22"/>
        </w:rPr>
        <w:t xml:space="preserve"> лице ________________________ действующего на основании  __</w:t>
      </w:r>
      <w:r>
        <w:rPr>
          <w:sz w:val="22"/>
          <w:szCs w:val="22"/>
        </w:rPr>
        <w:t xml:space="preserve">_______________________, именуемый в дальнейшем </w:t>
      </w:r>
      <w:r>
        <w:rPr>
          <w:b/>
          <w:sz w:val="22"/>
          <w:szCs w:val="22"/>
        </w:rPr>
        <w:t>«Претендент»</w:t>
      </w:r>
      <w:r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нижеследующем.</w:t>
      </w:r>
    </w:p>
    <w:p w:rsidR="00696FAF" w:rsidRDefault="00696FAF">
      <w:pPr>
        <w:ind w:right="397" w:firstLine="708"/>
        <w:jc w:val="both"/>
        <w:rPr>
          <w:sz w:val="22"/>
          <w:szCs w:val="22"/>
        </w:rPr>
      </w:pPr>
    </w:p>
    <w:p w:rsidR="00696FAF" w:rsidRDefault="0096232A">
      <w:pPr>
        <w:ind w:right="39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Претендент вносит задаток в размере </w:t>
      </w:r>
      <w:r>
        <w:rPr>
          <w:sz w:val="22"/>
          <w:szCs w:val="22"/>
        </w:rPr>
        <w:t>20 % (двадцать процентов) от начальной стоимости лота в подт</w:t>
      </w:r>
      <w:r>
        <w:rPr>
          <w:sz w:val="22"/>
          <w:szCs w:val="22"/>
        </w:rPr>
        <w:t>верждение своего намерения принять участие в открытых торгах в электронной форме имуществом Борисова В.М., проводимых в порядке и на условиях, указанных в извещении о проведении торгов (далее – Извещение), опубликованном на сайте ЕФРСБ:</w:t>
      </w:r>
    </w:p>
    <w:p w:rsidR="00696FAF" w:rsidRDefault="0096232A" w:rsidP="0096232A">
      <w:pPr>
        <w:ind w:right="397"/>
        <w:jc w:val="both"/>
        <w:rPr>
          <w:sz w:val="22"/>
          <w:szCs w:val="22"/>
        </w:rPr>
      </w:pPr>
      <w:r>
        <w:rPr>
          <w:sz w:val="22"/>
          <w:szCs w:val="22"/>
        </w:rPr>
        <w:t>Лот 1</w:t>
      </w:r>
      <w:r w:rsidRPr="0096232A">
        <w:t xml:space="preserve"> </w:t>
      </w:r>
      <w:r w:rsidRPr="0096232A">
        <w:rPr>
          <w:sz w:val="22"/>
          <w:szCs w:val="22"/>
        </w:rPr>
        <w:t>Доля в уставном капитале акционерного общества "ТРАСТ" (ОГРН 1027739102346 ИНН 7729062015) в размере 20.00%, дата приобретени</w:t>
      </w:r>
      <w:r>
        <w:rPr>
          <w:sz w:val="22"/>
          <w:szCs w:val="22"/>
        </w:rPr>
        <w:t>я 09.01.2005 г., начальная цена</w:t>
      </w:r>
      <w:r w:rsidRPr="0096232A">
        <w:rPr>
          <w:sz w:val="22"/>
          <w:szCs w:val="22"/>
        </w:rPr>
        <w:t xml:space="preserve"> - 500 000 руб.</w:t>
      </w:r>
    </w:p>
    <w:p w:rsidR="00696FAF" w:rsidRDefault="0096232A">
      <w:pPr>
        <w:tabs>
          <w:tab w:val="left" w:pos="1418"/>
        </w:tabs>
        <w:ind w:right="397" w:firstLine="851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. Прет</w:t>
      </w:r>
      <w:r>
        <w:rPr>
          <w:sz w:val="22"/>
          <w:szCs w:val="22"/>
        </w:rPr>
        <w:t>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</w:t>
      </w:r>
      <w:r>
        <w:rPr>
          <w:sz w:val="22"/>
          <w:szCs w:val="22"/>
        </w:rPr>
        <w:t xml:space="preserve"> получатель: Борисов Вячеслав Михайлович (ИНН:77</w:t>
      </w:r>
      <w:r>
        <w:rPr>
          <w:sz w:val="22"/>
          <w:szCs w:val="22"/>
        </w:rPr>
        <w:t>1519551693), р/с № 42306810438052614640 в Банк Получателя: ПАО «Сбербанк России» БИК 044525225 к/с: 30101810400000000225 ИНН/КПП: 7707083893/773643001 (в назначении платежа необходимо указать: «За участие в открытых электронных торгах в форме аукциона по п</w:t>
      </w:r>
      <w:r>
        <w:rPr>
          <w:sz w:val="22"/>
          <w:szCs w:val="22"/>
        </w:rPr>
        <w:t>родаже имущества Борисова В.М., лот №__»).</w:t>
      </w:r>
    </w:p>
    <w:p w:rsidR="00696FAF" w:rsidRDefault="0096232A">
      <w:pPr>
        <w:tabs>
          <w:tab w:val="left" w:pos="1418"/>
        </w:tabs>
        <w:ind w:right="397" w:firstLine="851"/>
        <w:jc w:val="both"/>
        <w:rPr>
          <w:sz w:val="22"/>
          <w:szCs w:val="22"/>
        </w:rPr>
      </w:pPr>
      <w:r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696FAF" w:rsidRDefault="0096232A">
      <w:pPr>
        <w:tabs>
          <w:tab w:val="left" w:pos="1418"/>
        </w:tabs>
        <w:ind w:right="397" w:firstLine="851"/>
        <w:jc w:val="both"/>
        <w:rPr>
          <w:sz w:val="22"/>
          <w:szCs w:val="22"/>
        </w:rPr>
      </w:pPr>
      <w:r>
        <w:rPr>
          <w:sz w:val="22"/>
          <w:szCs w:val="22"/>
        </w:rPr>
        <w:t>4. Если Претендент принял участие в тор</w:t>
      </w:r>
      <w:r>
        <w:rPr>
          <w:sz w:val="22"/>
          <w:szCs w:val="22"/>
        </w:rPr>
        <w:t>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696FAF" w:rsidRDefault="0096232A">
      <w:pPr>
        <w:tabs>
          <w:tab w:val="left" w:pos="1418"/>
        </w:tabs>
        <w:ind w:right="397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Задаток не возвращается Победителю торгов, отказавшемуся подписать </w:t>
      </w:r>
      <w:r>
        <w:rPr>
          <w:sz w:val="22"/>
          <w:szCs w:val="22"/>
        </w:rPr>
        <w:t xml:space="preserve">протокол о результатах торгов либо договор купли-продажи после проведения </w:t>
      </w:r>
      <w:proofErr w:type="gramStart"/>
      <w:r>
        <w:rPr>
          <w:sz w:val="22"/>
          <w:szCs w:val="22"/>
        </w:rPr>
        <w:t>торгов</w:t>
      </w:r>
      <w:proofErr w:type="gramEnd"/>
      <w:r>
        <w:rPr>
          <w:sz w:val="22"/>
          <w:szCs w:val="22"/>
        </w:rPr>
        <w:t xml:space="preserve"> либо не исполнивший свои обязательства по договору купли-продажи.</w:t>
      </w:r>
    </w:p>
    <w:p w:rsidR="00696FAF" w:rsidRDefault="0096232A">
      <w:pPr>
        <w:tabs>
          <w:tab w:val="left" w:pos="1418"/>
        </w:tabs>
        <w:ind w:right="397" w:firstLine="851"/>
        <w:jc w:val="both"/>
        <w:rPr>
          <w:sz w:val="22"/>
          <w:szCs w:val="22"/>
        </w:rPr>
      </w:pPr>
      <w:r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</w:t>
      </w:r>
      <w:r>
        <w:rPr>
          <w:sz w:val="22"/>
          <w:szCs w:val="22"/>
        </w:rPr>
        <w:t>итывается в цену приобретенного им Предмета торгов, определенную на торгах.</w:t>
      </w:r>
    </w:p>
    <w:p w:rsidR="00696FAF" w:rsidRDefault="0096232A">
      <w:pPr>
        <w:tabs>
          <w:tab w:val="left" w:pos="1418"/>
        </w:tabs>
        <w:ind w:right="397" w:firstLine="851"/>
        <w:jc w:val="both"/>
        <w:rPr>
          <w:sz w:val="22"/>
          <w:szCs w:val="22"/>
        </w:rPr>
      </w:pPr>
      <w:r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</w:t>
      </w:r>
      <w:r>
        <w:rPr>
          <w:sz w:val="22"/>
          <w:szCs w:val="22"/>
        </w:rPr>
        <w:t xml:space="preserve"> связанных с проведением торгов.</w:t>
      </w:r>
    </w:p>
    <w:p w:rsidR="00696FAF" w:rsidRDefault="0096232A">
      <w:pPr>
        <w:tabs>
          <w:tab w:val="left" w:pos="1418"/>
        </w:tabs>
        <w:ind w:right="397" w:firstLine="851"/>
        <w:jc w:val="both"/>
        <w:rPr>
          <w:sz w:val="22"/>
          <w:szCs w:val="22"/>
        </w:rPr>
      </w:pPr>
      <w:r>
        <w:rPr>
          <w:sz w:val="22"/>
          <w:szCs w:val="22"/>
        </w:rPr>
        <w:t>8.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696FAF" w:rsidRDefault="0096232A">
      <w:pPr>
        <w:tabs>
          <w:tab w:val="left" w:pos="1418"/>
        </w:tabs>
        <w:ind w:right="397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Все споры между Сторонами, возникающие из настоящего Договора, подлежат рассмотрению в Арбитражном суде </w:t>
      </w:r>
      <w:r>
        <w:rPr>
          <w:sz w:val="22"/>
          <w:szCs w:val="22"/>
        </w:rPr>
        <w:t>г. Москвы</w:t>
      </w:r>
      <w:r>
        <w:rPr>
          <w:sz w:val="22"/>
          <w:szCs w:val="22"/>
        </w:rPr>
        <w:t>.</w:t>
      </w:r>
    </w:p>
    <w:p w:rsidR="00696FAF" w:rsidRDefault="0096232A">
      <w:pPr>
        <w:tabs>
          <w:tab w:val="left" w:pos="1418"/>
        </w:tabs>
        <w:ind w:right="397" w:firstLine="851"/>
        <w:jc w:val="both"/>
        <w:rPr>
          <w:sz w:val="22"/>
          <w:szCs w:val="22"/>
        </w:rPr>
      </w:pPr>
      <w:r>
        <w:rPr>
          <w:sz w:val="22"/>
          <w:szCs w:val="22"/>
        </w:rPr>
        <w:t>10. Настоящий Договор составлено в 2-х экземплярах, имеющих равную юридическую силу, по одному для каждой из Сторон.</w:t>
      </w:r>
    </w:p>
    <w:p w:rsidR="00696FAF" w:rsidRDefault="0096232A">
      <w:pPr>
        <w:tabs>
          <w:tab w:val="left" w:pos="1418"/>
        </w:tabs>
        <w:ind w:right="397" w:firstLine="851"/>
        <w:jc w:val="both"/>
        <w:rPr>
          <w:sz w:val="22"/>
          <w:szCs w:val="22"/>
        </w:rPr>
      </w:pPr>
      <w:r>
        <w:rPr>
          <w:sz w:val="22"/>
          <w:szCs w:val="22"/>
        </w:rPr>
        <w:t>11. Настоящий Догово</w:t>
      </w:r>
      <w:r>
        <w:rPr>
          <w:sz w:val="22"/>
          <w:szCs w:val="22"/>
        </w:rPr>
        <w:t>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696FAF" w:rsidRDefault="00696FAF">
      <w:pPr>
        <w:ind w:right="397"/>
        <w:jc w:val="center"/>
        <w:rPr>
          <w:sz w:val="22"/>
          <w:szCs w:val="22"/>
        </w:rPr>
      </w:pPr>
    </w:p>
    <w:p w:rsidR="00696FAF" w:rsidRDefault="0096232A">
      <w:pPr>
        <w:ind w:right="39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Юридические адреса и банковские реквизиты сторон</w:t>
      </w:r>
    </w:p>
    <w:p w:rsidR="00696FAF" w:rsidRDefault="00696FAF">
      <w:pPr>
        <w:ind w:right="397"/>
        <w:jc w:val="center"/>
        <w:rPr>
          <w:b/>
          <w:sz w:val="22"/>
          <w:szCs w:val="22"/>
        </w:rPr>
      </w:pPr>
    </w:p>
    <w:tbl>
      <w:tblPr>
        <w:tblStyle w:val="a5"/>
        <w:tblW w:w="1009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696FAF">
        <w:trPr>
          <w:jc w:val="center"/>
        </w:trPr>
        <w:tc>
          <w:tcPr>
            <w:tcW w:w="5132" w:type="dxa"/>
            <w:shd w:val="clear" w:color="auto" w:fill="auto"/>
          </w:tcPr>
          <w:p w:rsidR="00696FAF" w:rsidRDefault="0096232A">
            <w:pPr>
              <w:ind w:right="39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 торгов:</w:t>
            </w:r>
          </w:p>
          <w:p w:rsidR="00696FAF" w:rsidRDefault="00696FAF">
            <w:pPr>
              <w:ind w:right="397"/>
              <w:jc w:val="both"/>
              <w:rPr>
                <w:sz w:val="22"/>
                <w:szCs w:val="22"/>
              </w:rPr>
            </w:pPr>
          </w:p>
          <w:p w:rsidR="00696FAF" w:rsidRDefault="00696FAF">
            <w:pPr>
              <w:ind w:right="397"/>
              <w:jc w:val="both"/>
              <w:rPr>
                <w:sz w:val="22"/>
                <w:szCs w:val="22"/>
              </w:rPr>
            </w:pPr>
          </w:p>
          <w:p w:rsidR="00696FAF" w:rsidRDefault="00696FAF">
            <w:pPr>
              <w:ind w:right="397"/>
              <w:rPr>
                <w:sz w:val="22"/>
                <w:szCs w:val="22"/>
              </w:rPr>
            </w:pPr>
          </w:p>
          <w:p w:rsidR="00696FAF" w:rsidRDefault="0096232A">
            <w:pPr>
              <w:ind w:right="39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 /</w:t>
            </w:r>
            <w:proofErr w:type="spellStart"/>
            <w:r>
              <w:rPr>
                <w:sz w:val="22"/>
                <w:szCs w:val="22"/>
              </w:rPr>
              <w:t>Криксин</w:t>
            </w:r>
            <w:proofErr w:type="spellEnd"/>
            <w:r>
              <w:rPr>
                <w:sz w:val="22"/>
                <w:szCs w:val="22"/>
              </w:rPr>
              <w:t xml:space="preserve"> Ф.М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4959" w:type="dxa"/>
            <w:shd w:val="clear" w:color="auto" w:fill="auto"/>
          </w:tcPr>
          <w:p w:rsidR="00696FAF" w:rsidRDefault="0096232A">
            <w:pPr>
              <w:ind w:right="39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Претендент:</w:t>
            </w:r>
          </w:p>
          <w:p w:rsidR="00696FAF" w:rsidRDefault="00696FAF">
            <w:pPr>
              <w:ind w:right="397"/>
              <w:rPr>
                <w:sz w:val="22"/>
                <w:szCs w:val="22"/>
              </w:rPr>
            </w:pPr>
          </w:p>
          <w:p w:rsidR="00696FAF" w:rsidRDefault="00696FAF">
            <w:pPr>
              <w:ind w:right="397"/>
              <w:rPr>
                <w:sz w:val="22"/>
                <w:szCs w:val="22"/>
              </w:rPr>
            </w:pPr>
          </w:p>
          <w:p w:rsidR="00696FAF" w:rsidRDefault="00696FAF">
            <w:pPr>
              <w:ind w:right="397"/>
              <w:rPr>
                <w:sz w:val="22"/>
                <w:szCs w:val="22"/>
              </w:rPr>
            </w:pPr>
          </w:p>
          <w:p w:rsidR="00696FAF" w:rsidRDefault="0096232A">
            <w:pPr>
              <w:ind w:right="39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_____________  /______________/</w:t>
            </w:r>
          </w:p>
        </w:tc>
      </w:tr>
    </w:tbl>
    <w:p w:rsidR="00696FAF" w:rsidRDefault="00696FAF" w:rsidP="0096232A">
      <w:pPr>
        <w:jc w:val="both"/>
        <w:rPr>
          <w:sz w:val="24"/>
          <w:szCs w:val="24"/>
        </w:rPr>
      </w:pPr>
      <w:bookmarkStart w:id="0" w:name="_GoBack"/>
      <w:bookmarkEnd w:id="0"/>
    </w:p>
    <w:sectPr w:rsidR="00696FAF">
      <w:pgSz w:w="11906" w:h="16838"/>
      <w:pgMar w:top="567" w:right="850" w:bottom="56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AF"/>
    <w:rsid w:val="00696FAF"/>
    <w:rsid w:val="0096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5154"/>
  <w15:docId w15:val="{389AB100-9DC9-4591-BB63-3A5AC4DB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Vargi</dc:creator>
  <cp:lastModifiedBy>Vargi</cp:lastModifiedBy>
  <cp:revision>2</cp:revision>
  <dcterms:created xsi:type="dcterms:W3CDTF">2018-11-06T15:56:00Z</dcterms:created>
  <dcterms:modified xsi:type="dcterms:W3CDTF">2018-11-06T15:56:00Z</dcterms:modified>
</cp:coreProperties>
</file>