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697A067D" w:rsidR="0017320C" w:rsidRPr="00E0739C" w:rsidRDefault="00222BD9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222BD9">
        <w:rPr>
          <w:sz w:val="22"/>
          <w:szCs w:val="22"/>
        </w:rPr>
        <w:t>АКЦИОНЕРНЫЙ КОММЕРЧЕСКИЙ БАНК «НАЦИОНАЛЬНЫЙ ЗАЛОГОВЫЙ БАНК» ОТКРЫТОЕ АКЦИОНЕРНОЕ ОБЩЕСТВО (АКБ «</w:t>
      </w:r>
      <w:proofErr w:type="spellStart"/>
      <w:r w:rsidRPr="00222BD9">
        <w:rPr>
          <w:sz w:val="22"/>
          <w:szCs w:val="22"/>
        </w:rPr>
        <w:t>НЗБанк</w:t>
      </w:r>
      <w:proofErr w:type="spellEnd"/>
      <w:r w:rsidRPr="00222BD9">
        <w:rPr>
          <w:sz w:val="22"/>
          <w:szCs w:val="22"/>
        </w:rPr>
        <w:t>» ОАО</w:t>
      </w:r>
      <w:bookmarkStart w:id="0" w:name="_GoBack"/>
      <w:bookmarkEnd w:id="0"/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 w:rsidRPr="00B70835">
        <w:rPr>
          <w:sz w:val="23"/>
          <w:szCs w:val="23"/>
        </w:rPr>
        <w:t>Московской обл. от 26 января 2017 г. по делу № А41-81635/16</w:t>
      </w:r>
      <w:r>
        <w:rPr>
          <w:sz w:val="23"/>
          <w:szCs w:val="23"/>
        </w:rPr>
        <w:t xml:space="preserve"> </w:t>
      </w:r>
      <w:r w:rsidR="0017320C" w:rsidRPr="00E0739C">
        <w:rPr>
          <w:sz w:val="22"/>
          <w:szCs w:val="22"/>
        </w:rPr>
        <w:t>и доверенности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222BD9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2BD9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6CDA-2620-49C8-8D44-9CB44FB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7</cp:revision>
  <cp:lastPrinted>2017-10-27T08:14:00Z</cp:lastPrinted>
  <dcterms:created xsi:type="dcterms:W3CDTF">2017-04-13T07:09:00Z</dcterms:created>
  <dcterms:modified xsi:type="dcterms:W3CDTF">2018-10-24T12:56:00Z</dcterms:modified>
</cp:coreProperties>
</file>