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 w:rsidR="00DC67A7">
        <w:tab/>
      </w:r>
      <w:r w:rsidR="00DC67A7">
        <w:tab/>
        <w:t xml:space="preserve">   _______________________</w:t>
      </w:r>
      <w:proofErr w:type="gramStart"/>
      <w:r w:rsidR="00DC67A7">
        <w:t xml:space="preserve">201  </w:t>
      </w:r>
      <w:r w:rsidR="000530C2">
        <w:t>г.</w:t>
      </w:r>
      <w:proofErr w:type="gramEnd"/>
    </w:p>
    <w:p w:rsidR="000530C2" w:rsidRDefault="000530C2" w:rsidP="000530C2"/>
    <w:p w:rsidR="000530C2" w:rsidRPr="00582CD7" w:rsidRDefault="00157637" w:rsidP="00582CD7">
      <w:pPr>
        <w:ind w:firstLine="708"/>
        <w:jc w:val="both"/>
        <w:rPr>
          <w:color w:val="FF0000"/>
        </w:rPr>
      </w:pPr>
      <w:r w:rsidRPr="00157637">
        <w:rPr>
          <w:b/>
          <w:color w:val="000000"/>
        </w:rPr>
        <w:t>МУП «Школьно-базовая столовая» г. Ржева</w:t>
      </w:r>
      <w:r w:rsidR="00543B04" w:rsidRPr="00543B04">
        <w:rPr>
          <w:b/>
          <w:color w:val="000000"/>
        </w:rPr>
        <w:t xml:space="preserve"> </w:t>
      </w:r>
      <w:r>
        <w:rPr>
          <w:color w:val="000000"/>
        </w:rPr>
        <w:t>(</w:t>
      </w:r>
      <w:r w:rsidRPr="00157637">
        <w:rPr>
          <w:color w:val="000000"/>
        </w:rPr>
        <w:t>Тверская область, г. Ржев, ул. Садовая, 34.</w:t>
      </w:r>
      <w:r w:rsidR="00543B04" w:rsidRPr="00157637">
        <w:rPr>
          <w:color w:val="000000"/>
        </w:rPr>
        <w:t>)</w:t>
      </w:r>
      <w:r w:rsidR="00543B04" w:rsidRPr="00543B04">
        <w:rPr>
          <w:color w:val="000000"/>
        </w:rPr>
        <w:t>,</w:t>
      </w:r>
      <w:r w:rsidR="00543B04" w:rsidRPr="00543B04">
        <w:rPr>
          <w:b/>
          <w:color w:val="000000"/>
        </w:rPr>
        <w:t xml:space="preserve"> </w:t>
      </w:r>
      <w:r w:rsidR="00543B04"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основании р</w:t>
      </w:r>
      <w:r>
        <w:rPr>
          <w:color w:val="000000"/>
        </w:rPr>
        <w:t>ешения Арбитражного суда Твер</w:t>
      </w:r>
      <w:r w:rsidR="00543B04" w:rsidRPr="00543B04">
        <w:rPr>
          <w:color w:val="000000"/>
        </w:rPr>
        <w:t xml:space="preserve">ской области по делу </w:t>
      </w:r>
      <w:r w:rsidR="00DC67A7" w:rsidRPr="00DC67A7">
        <w:t>№</w:t>
      </w:r>
      <w:r w:rsidR="00DC67A7">
        <w:rPr>
          <w:color w:val="FF0000"/>
        </w:rPr>
        <w:t xml:space="preserve"> </w:t>
      </w:r>
      <w:r w:rsidR="00DC67A7" w:rsidRPr="00DC67A7">
        <w:t xml:space="preserve"> </w:t>
      </w:r>
      <w:r w:rsidR="00DC67A7" w:rsidRPr="00DC67A7">
        <w:t>А66-2068/2017</w:t>
      </w:r>
      <w:r w:rsidR="00543B04" w:rsidRPr="00157637">
        <w:rPr>
          <w:color w:val="FF0000"/>
        </w:rPr>
        <w:t xml:space="preserve"> </w:t>
      </w:r>
      <w:r w:rsidR="00DC67A7" w:rsidRPr="00DC67A7">
        <w:rPr>
          <w:bCs/>
        </w:rPr>
        <w:t>от 17 октября</w:t>
      </w:r>
      <w:r w:rsidR="00543B04" w:rsidRPr="00DC67A7">
        <w:rPr>
          <w:bCs/>
        </w:rPr>
        <w:t xml:space="preserve"> 2017г.</w:t>
      </w:r>
      <w:r w:rsidR="00D26D71" w:rsidRPr="00DC67A7">
        <w:t xml:space="preserve">, </w:t>
      </w:r>
      <w:r w:rsidR="00D26D71">
        <w:rPr>
          <w:color w:val="000000"/>
        </w:rPr>
        <w:t xml:space="preserve">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="00543B04"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____________________________________________________________________________________________________________________________________________________________________,</w:t>
      </w:r>
      <w:r w:rsidR="000530C2">
        <w:t>именуемый в дальнейшем «Заявитель», в лице ___________________________________ ___________________________________, действующего на основании ___________________ ____________________________________________,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157637" w:rsidRPr="00157637" w:rsidRDefault="000530C2" w:rsidP="00157637">
      <w:pPr>
        <w:autoSpaceDE w:val="0"/>
        <w:autoSpaceDN w:val="0"/>
        <w:adjustRightInd w:val="0"/>
        <w:ind w:firstLine="709"/>
        <w:jc w:val="both"/>
      </w:pPr>
      <w:r w:rsidRPr="00E31D0A">
        <w:t xml:space="preserve">1.1.В соответствии с условиями настоящего договора Заявитель для участия в открытых торгах в виде </w:t>
      </w:r>
      <w:r w:rsidR="00157637">
        <w:t xml:space="preserve">аукциона по продаже имущества </w:t>
      </w:r>
      <w:r w:rsidR="00157637" w:rsidRPr="00157637">
        <w:t>МУП «Школьно-базовая столовая» г. Ржева</w:t>
      </w:r>
      <w:r w:rsidR="00157637">
        <w:t>, проводимых 30.01.2019 г.</w:t>
      </w:r>
      <w:r w:rsidRPr="00E31D0A">
        <w:t>, место проведение торгов: электр</w:t>
      </w:r>
      <w:r w:rsidR="00337078">
        <w:t>онная торговая  площадка</w:t>
      </w:r>
      <w:r w:rsidR="00337078" w:rsidRPr="00E31D0A">
        <w:t xml:space="preserve"> </w:t>
      </w:r>
      <w:r w:rsidR="00337078" w:rsidRPr="00C1760F">
        <w:t xml:space="preserve"> ОАО «Российский аукционный дом»  размещенной в сети интернет </w:t>
      </w:r>
      <w:r w:rsidR="00337078">
        <w:t>по адресу: http://lot-online.ru.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 xml:space="preserve">а Организатор торгов принимает задаток на </w:t>
      </w:r>
      <w:r w:rsidR="00157637">
        <w:t xml:space="preserve"> расчетный счет </w:t>
      </w:r>
      <w:r w:rsidR="00157637" w:rsidRPr="00157637">
        <w:t>МУП «Школьно-базовая столовая» г. Ржева</w:t>
      </w:r>
      <w:r w:rsidR="00157637">
        <w:t xml:space="preserve"> </w:t>
      </w:r>
      <w:r w:rsidR="00157637" w:rsidRPr="00157637">
        <w:t>№ Рас</w:t>
      </w:r>
      <w:r w:rsidR="00157637">
        <w:t>четного</w:t>
      </w:r>
      <w:r w:rsidR="00157637" w:rsidRPr="00157637">
        <w:t xml:space="preserve"> счет</w:t>
      </w:r>
      <w:r w:rsidR="00157637">
        <w:t>а</w:t>
      </w:r>
      <w:r w:rsidR="00157637" w:rsidRPr="00157637">
        <w:rPr>
          <w:color w:val="FF0000"/>
        </w:rPr>
        <w:t xml:space="preserve"> </w:t>
      </w:r>
      <w:r w:rsidR="00157637" w:rsidRPr="00157637">
        <w:t>40702810575000004705, открытый в ДО №8613/0243 Чувашского отделения №8613 ПАО Сбербанк, БИК 049706609</w:t>
      </w:r>
      <w:bookmarkStart w:id="0" w:name="_GoBack"/>
      <w:bookmarkEnd w:id="0"/>
      <w:r w:rsidR="00157637" w:rsidRPr="00157637">
        <w:t>, к/счет 30101810300000000609, ИНН 7707083893.</w:t>
      </w:r>
    </w:p>
    <w:p w:rsidR="000530C2" w:rsidRDefault="00157637" w:rsidP="000530C2">
      <w:pPr>
        <w:jc w:val="both"/>
      </w:pPr>
      <w:r>
        <w:t xml:space="preserve">    </w:t>
      </w:r>
      <w:r w:rsidR="000530C2">
        <w:t>1.2.</w:t>
      </w:r>
      <w:r>
        <w:t xml:space="preserve"> </w:t>
      </w:r>
      <w:r w:rsidR="000530C2">
        <w:t>Задаток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</w:t>
      </w:r>
      <w:r w:rsidR="001E5D54">
        <w:t>ет не</w:t>
      </w:r>
      <w:r w:rsidR="00157637">
        <w:t xml:space="preserve"> позднее 17 часов 00 минут 29.01.2019</w:t>
      </w:r>
      <w:r w:rsidR="00CA3DCE">
        <w:t xml:space="preserve"> года</w:t>
      </w:r>
      <w:r>
        <w:t>.</w:t>
      </w:r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3.1.Организатор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t>3.2.Организатор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lastRenderedPageBreak/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3.3.Внесенный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157637">
            <w:pPr>
              <w:rPr>
                <w:b/>
              </w:rPr>
            </w:pPr>
            <w:r w:rsidRPr="00157637">
              <w:rPr>
                <w:b/>
              </w:rPr>
              <w:t>МУП «Школьно-базовая столовая» г. Ржева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DC67A7"/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30C2"/>
    <w:rsid w:val="00082F0F"/>
    <w:rsid w:val="00157637"/>
    <w:rsid w:val="001E5D54"/>
    <w:rsid w:val="00337078"/>
    <w:rsid w:val="00543B04"/>
    <w:rsid w:val="00582CD7"/>
    <w:rsid w:val="007F00D9"/>
    <w:rsid w:val="009E19FF"/>
    <w:rsid w:val="00B00017"/>
    <w:rsid w:val="00CA3DCE"/>
    <w:rsid w:val="00D26D71"/>
    <w:rsid w:val="00D530D0"/>
    <w:rsid w:val="00DC67A7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A75E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2015-12-29T07:22:00Z</dcterms:created>
  <dcterms:modified xsi:type="dcterms:W3CDTF">2018-12-10T16:24:00Z</dcterms:modified>
</cp:coreProperties>
</file>