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4A235C">
        <w:rPr>
          <w:bCs w:val="0"/>
        </w:rPr>
        <w:t>11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640E40">
        <w:rPr>
          <w:bCs w:val="0"/>
          <w:color w:val="FF0000"/>
          <w:lang w:val="en-US"/>
        </w:rPr>
        <w:t>24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640E40">
        <w:rPr>
          <w:bCs w:val="0"/>
          <w:color w:val="FF0000"/>
          <w:lang w:val="en-US"/>
        </w:rPr>
        <w:t>12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4A235C">
        <w:rPr>
          <w:bCs w:val="0"/>
          <w:color w:val="FF0000"/>
        </w:rPr>
        <w:t>8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4A235C">
            <w:pPr>
              <w:pStyle w:val="a3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>Финансовый управляющий</w:t>
            </w:r>
            <w:r w:rsidR="004A235C">
              <w:rPr>
                <w:b w:val="0"/>
                <w:noProof/>
                <w:color w:val="002060"/>
                <w:sz w:val="22"/>
                <w:szCs w:val="22"/>
              </w:rPr>
              <w:t xml:space="preserve">  </w:t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>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4A235C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F165DC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F165DC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F165DC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  <w:r w:rsidR="004A235C" w:rsidRPr="004A235C">
              <w:rPr>
                <w:b w:val="0"/>
                <w:noProof/>
                <w:color w:val="002060"/>
                <w:sz w:val="22"/>
                <w:szCs w:val="22"/>
              </w:rPr>
              <w:t xml:space="preserve"> 14.05.2018 г. по делу № А51-15788/2017</w:t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D317E5" w:rsidRPr="006F125D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 xml:space="preserve">Претендент обязуется </w:t>
      </w:r>
      <w:r w:rsidR="006312D8" w:rsidRPr="006F125D">
        <w:rPr>
          <w:rStyle w:val="paragraph"/>
          <w:b w:val="0"/>
          <w:sz w:val="22"/>
          <w:szCs w:val="22"/>
        </w:rPr>
        <w:t>перечислить</w:t>
      </w:r>
      <w:r w:rsidRPr="006F125D">
        <w:rPr>
          <w:b w:val="0"/>
          <w:bCs w:val="0"/>
          <w:sz w:val="22"/>
          <w:szCs w:val="22"/>
        </w:rPr>
        <w:t xml:space="preserve"> на счет Продавца задаток</w:t>
      </w:r>
      <w:r w:rsidR="00CE42DC" w:rsidRPr="006F125D">
        <w:rPr>
          <w:b w:val="0"/>
          <w:bCs w:val="0"/>
          <w:sz w:val="22"/>
          <w:szCs w:val="22"/>
        </w:rPr>
        <w:t xml:space="preserve"> в размере </w:t>
      </w:r>
      <w:r w:rsidR="004A235C">
        <w:rPr>
          <w:b w:val="0"/>
          <w:bCs w:val="0"/>
          <w:sz w:val="22"/>
          <w:szCs w:val="22"/>
        </w:rPr>
        <w:t>20</w:t>
      </w:r>
      <w:r w:rsidR="00D317E5" w:rsidRPr="006F125D">
        <w:rPr>
          <w:b w:val="0"/>
          <w:bCs w:val="0"/>
          <w:sz w:val="22"/>
          <w:szCs w:val="22"/>
        </w:rPr>
        <w:t xml:space="preserve"> % от начальной  продажной  цены (далее- НПЦ) лота, соответственно: </w:t>
      </w:r>
    </w:p>
    <w:p w:rsidR="00D317E5" w:rsidRPr="00640E40" w:rsidRDefault="00D317E5" w:rsidP="00542E96">
      <w:pPr>
        <w:pStyle w:val="a3"/>
        <w:ind w:firstLine="709"/>
        <w:jc w:val="both"/>
        <w:rPr>
          <w:bCs w:val="0"/>
          <w:sz w:val="22"/>
          <w:szCs w:val="22"/>
          <w:highlight w:val="yellow"/>
        </w:rPr>
      </w:pPr>
      <w:r w:rsidRPr="006F125D">
        <w:rPr>
          <w:bCs w:val="0"/>
          <w:sz w:val="22"/>
          <w:szCs w:val="22"/>
          <w:highlight w:val="yellow"/>
        </w:rPr>
        <w:t xml:space="preserve">Лот №1 - задаток </w:t>
      </w:r>
      <w:r w:rsidR="00E078D2" w:rsidRPr="006F125D">
        <w:rPr>
          <w:bCs w:val="0"/>
          <w:sz w:val="22"/>
          <w:szCs w:val="22"/>
          <w:highlight w:val="yellow"/>
        </w:rPr>
        <w:t> </w:t>
      </w:r>
      <w:r w:rsidR="00640E40" w:rsidRPr="00640E40">
        <w:rPr>
          <w:bCs w:val="0"/>
          <w:sz w:val="22"/>
          <w:szCs w:val="22"/>
          <w:highlight w:val="yellow"/>
        </w:rPr>
        <w:t>8</w:t>
      </w:r>
      <w:r w:rsidR="00640E40">
        <w:rPr>
          <w:bCs w:val="0"/>
          <w:sz w:val="22"/>
          <w:szCs w:val="22"/>
          <w:highlight w:val="yellow"/>
          <w:lang w:val="en-US"/>
        </w:rPr>
        <w:t> </w:t>
      </w:r>
      <w:r w:rsidR="00640E40" w:rsidRPr="00640E40">
        <w:rPr>
          <w:bCs w:val="0"/>
          <w:sz w:val="22"/>
          <w:szCs w:val="22"/>
          <w:highlight w:val="yellow"/>
        </w:rPr>
        <w:t>1</w:t>
      </w:r>
      <w:r w:rsidR="004A235C">
        <w:rPr>
          <w:bCs w:val="0"/>
          <w:sz w:val="22"/>
          <w:szCs w:val="22"/>
          <w:highlight w:val="yellow"/>
        </w:rPr>
        <w:t>00</w:t>
      </w:r>
      <w:r w:rsidR="00640E40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000</w:t>
      </w:r>
      <w:r w:rsidR="00640E40" w:rsidRPr="00640E40">
        <w:rPr>
          <w:bCs w:val="0"/>
          <w:sz w:val="22"/>
          <w:szCs w:val="22"/>
          <w:highlight w:val="yellow"/>
        </w:rPr>
        <w:t xml:space="preserve"> </w:t>
      </w:r>
      <w:r w:rsidRPr="006F125D">
        <w:rPr>
          <w:bCs w:val="0"/>
          <w:sz w:val="22"/>
          <w:szCs w:val="22"/>
          <w:highlight w:val="yellow"/>
        </w:rPr>
        <w:t xml:space="preserve"> руб.;</w:t>
      </w:r>
    </w:p>
    <w:p w:rsidR="005D0C45" w:rsidRPr="006F125D" w:rsidRDefault="006312D8" w:rsidP="00542E96">
      <w:pPr>
        <w:pStyle w:val="a3"/>
        <w:jc w:val="both"/>
        <w:rPr>
          <w:b w:val="0"/>
          <w:bCs w:val="0"/>
          <w:color w:val="FF0066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9666E4" w:rsidRPr="006F125D">
        <w:rPr>
          <w:b w:val="0"/>
          <w:color w:val="FF0066"/>
          <w:sz w:val="22"/>
          <w:szCs w:val="22"/>
        </w:rPr>
        <w:t xml:space="preserve">на </w:t>
      </w:r>
      <w:r w:rsidR="003B4B1C" w:rsidRPr="006F125D">
        <w:rPr>
          <w:b w:val="0"/>
          <w:color w:val="FF0066"/>
          <w:sz w:val="22"/>
          <w:szCs w:val="22"/>
        </w:rPr>
        <w:t xml:space="preserve"> </w:t>
      </w:r>
      <w:hyperlink r:id="rId7" w:history="1">
        <w:r w:rsidR="003B4B1C" w:rsidRPr="006F125D">
          <w:rPr>
            <w:rStyle w:val="a8"/>
            <w:b w:val="0"/>
            <w:sz w:val="22"/>
            <w:szCs w:val="22"/>
          </w:rPr>
          <w:t>http://bankrot.fedresurs.ru/</w:t>
        </w:r>
      </w:hyperlink>
      <w:r w:rsidR="003B4B1C" w:rsidRPr="006F125D">
        <w:rPr>
          <w:b w:val="0"/>
          <w:color w:val="FF0066"/>
          <w:sz w:val="22"/>
          <w:szCs w:val="22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640E40">
        <w:rPr>
          <w:rFonts w:ascii="Tahoma" w:hAnsi="Tahoma" w:cs="Tahoma"/>
          <w:color w:val="000000"/>
        </w:rPr>
        <w:t>3316576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4A235C">
        <w:rPr>
          <w:b w:val="0"/>
          <w:bCs w:val="0"/>
          <w:color w:val="FF0066"/>
          <w:sz w:val="22"/>
          <w:szCs w:val="22"/>
        </w:rPr>
        <w:t xml:space="preserve"> </w:t>
      </w:r>
      <w:r w:rsidR="004A235C" w:rsidRPr="004A235C">
        <w:rPr>
          <w:b w:val="0"/>
          <w:noProof/>
          <w:color w:val="002060"/>
          <w:sz w:val="22"/>
          <w:szCs w:val="22"/>
        </w:rPr>
        <w:t>А51-15788/2017</w:t>
      </w:r>
      <w:r w:rsidR="004A235C">
        <w:rPr>
          <w:b w:val="0"/>
          <w:noProof/>
          <w:color w:val="002060"/>
          <w:sz w:val="22"/>
          <w:szCs w:val="22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11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640E40" w:rsidRPr="00640E40">
        <w:rPr>
          <w:b w:val="0"/>
          <w:bCs w:val="0"/>
          <w:color w:val="FF0066"/>
          <w:sz w:val="22"/>
          <w:szCs w:val="22"/>
          <w:shd w:val="clear" w:color="auto" w:fill="FFFF00"/>
        </w:rPr>
        <w:t>24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640E40" w:rsidRPr="00640E40">
        <w:rPr>
          <w:b w:val="0"/>
          <w:bCs w:val="0"/>
          <w:color w:val="FF0066"/>
          <w:sz w:val="22"/>
          <w:szCs w:val="22"/>
          <w:shd w:val="clear" w:color="auto" w:fill="FFFF00"/>
        </w:rPr>
        <w:t>12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4A235C">
        <w:rPr>
          <w:b w:val="0"/>
          <w:bCs w:val="0"/>
          <w:color w:val="FF0066"/>
          <w:sz w:val="22"/>
          <w:szCs w:val="22"/>
          <w:shd w:val="clear" w:color="auto" w:fill="FFFF00"/>
        </w:rPr>
        <w:t>8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A62842">
        <w:rPr>
          <w:b w:val="0"/>
          <w:bCs w:val="0"/>
          <w:sz w:val="22"/>
          <w:szCs w:val="22"/>
        </w:rPr>
        <w:t xml:space="preserve"> (Лот №1)</w:t>
      </w:r>
      <w:r w:rsidR="009908ED">
        <w:rPr>
          <w:b w:val="0"/>
          <w:bCs w:val="0"/>
          <w:sz w:val="22"/>
          <w:szCs w:val="22"/>
        </w:rPr>
        <w:t xml:space="preserve"> </w:t>
      </w:r>
      <w:r w:rsidR="009908ED" w:rsidRPr="009908ED">
        <w:rPr>
          <w:b w:val="0"/>
          <w:bCs w:val="0"/>
          <w:sz w:val="22"/>
          <w:szCs w:val="22"/>
        </w:rPr>
        <w:t>начальная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4A235C">
        <w:rPr>
          <w:bCs w:val="0"/>
          <w:sz w:val="22"/>
          <w:szCs w:val="22"/>
          <w:highlight w:val="yellow"/>
        </w:rPr>
        <w:t>4</w:t>
      </w:r>
      <w:r w:rsidR="00640E40" w:rsidRPr="00640E40">
        <w:rPr>
          <w:bCs w:val="0"/>
          <w:sz w:val="22"/>
          <w:szCs w:val="22"/>
          <w:highlight w:val="yellow"/>
        </w:rPr>
        <w:t>0</w:t>
      </w:r>
      <w:r w:rsidR="009908ED" w:rsidRPr="009908ED">
        <w:rPr>
          <w:bCs w:val="0"/>
          <w:sz w:val="22"/>
          <w:szCs w:val="22"/>
          <w:highlight w:val="yellow"/>
        </w:rPr>
        <w:t> </w:t>
      </w:r>
      <w:r w:rsidR="00640E40" w:rsidRPr="00640E40">
        <w:rPr>
          <w:bCs w:val="0"/>
          <w:sz w:val="22"/>
          <w:szCs w:val="22"/>
          <w:highlight w:val="yellow"/>
        </w:rPr>
        <w:t>5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 </w:t>
      </w:r>
      <w:r w:rsidR="004A235C">
        <w:rPr>
          <w:bCs w:val="0"/>
          <w:sz w:val="22"/>
          <w:szCs w:val="22"/>
          <w:highlight w:val="yellow"/>
        </w:rPr>
        <w:t>00</w:t>
      </w:r>
      <w:r w:rsidR="009908ED" w:rsidRPr="009908ED">
        <w:rPr>
          <w:bCs w:val="0"/>
          <w:sz w:val="22"/>
          <w:szCs w:val="22"/>
          <w:highlight w:val="yellow"/>
        </w:rPr>
        <w:t>0</w:t>
      </w:r>
      <w:r w:rsidR="009908ED">
        <w:rPr>
          <w:b w:val="0"/>
          <w:bCs w:val="0"/>
          <w:sz w:val="22"/>
          <w:szCs w:val="22"/>
        </w:rPr>
        <w:t xml:space="preserve"> руб.</w:t>
      </w:r>
      <w:r w:rsidRPr="006F125D">
        <w:rPr>
          <w:b w:val="0"/>
          <w:bCs w:val="0"/>
          <w:sz w:val="22"/>
          <w:szCs w:val="22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4A235C" w:rsidRPr="004A235C" w:rsidRDefault="004A235C" w:rsidP="004A235C">
      <w:pPr>
        <w:spacing w:line="240" w:lineRule="auto"/>
        <w:ind w:firstLine="851"/>
        <w:jc w:val="both"/>
        <w:rPr>
          <w:rFonts w:ascii="Times New Roman" w:hAnsi="Times New Roman"/>
        </w:rPr>
      </w:pPr>
      <w:r w:rsidRPr="004A235C">
        <w:rPr>
          <w:rFonts w:ascii="Times New Roman" w:hAnsi="Times New Roman"/>
        </w:rPr>
        <w:t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25:28:040010:8527, адрес (местонахождение) объекта: Приморский край, г. Владивосток, ул. Котельникова, д. 2.</w:t>
      </w:r>
    </w:p>
    <w:p w:rsidR="004A235C" w:rsidRDefault="004A235C" w:rsidP="004A235C">
      <w:pPr>
        <w:pStyle w:val="a3"/>
        <w:ind w:firstLine="851"/>
        <w:jc w:val="both"/>
        <w:rPr>
          <w:b w:val="0"/>
          <w:bCs w:val="0"/>
          <w:sz w:val="22"/>
          <w:szCs w:val="22"/>
        </w:rPr>
      </w:pPr>
      <w:r w:rsidRPr="004A235C">
        <w:rPr>
          <w:b w:val="0"/>
          <w:bCs w:val="0"/>
          <w:sz w:val="22"/>
          <w:szCs w:val="22"/>
        </w:rPr>
        <w:t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25:28:040010:294,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</w:r>
    </w:p>
    <w:p w:rsidR="004A235C" w:rsidRPr="006F125D" w:rsidRDefault="004A235C" w:rsidP="00247CDD">
      <w:pPr>
        <w:pStyle w:val="a3"/>
        <w:jc w:val="both"/>
        <w:rPr>
          <w:b w:val="0"/>
          <w:bCs w:val="0"/>
          <w:sz w:val="22"/>
          <w:szCs w:val="22"/>
        </w:rPr>
      </w:pP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A62842">
        <w:rPr>
          <w:rStyle w:val="paragraph"/>
          <w:b w:val="0"/>
          <w:sz w:val="22"/>
          <w:szCs w:val="22"/>
        </w:rPr>
        <w:t>Задатки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4A235C" w:rsidRPr="004A235C">
        <w:rPr>
          <w:rFonts w:ascii="Times New Roman" w:hAnsi="Times New Roman"/>
          <w:b/>
          <w:bCs/>
        </w:rPr>
        <w:t>г. Владивосток, ул. Котельникова, д. 2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CE6303" w:rsidRPr="00A62842">
        <w:rPr>
          <w:rFonts w:ascii="Times New Roman" w:hAnsi="Times New Roman"/>
          <w:color w:val="FF0000"/>
        </w:rPr>
        <w:t>залог</w:t>
      </w:r>
      <w:r w:rsidR="004A235C">
        <w:rPr>
          <w:rFonts w:ascii="Times New Roman" w:hAnsi="Times New Roman"/>
          <w:color w:val="FF0000"/>
        </w:rPr>
        <w:t>.</w:t>
      </w:r>
      <w:r w:rsidR="00CE6303" w:rsidRPr="00A62842">
        <w:rPr>
          <w:rFonts w:ascii="Times New Roman" w:hAnsi="Times New Roman"/>
          <w:color w:val="FF0000"/>
        </w:rPr>
        <w:t xml:space="preserve">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lastRenderedPageBreak/>
        <w:t xml:space="preserve">Суммы, указанные в пункте 1 настоящего Договора должны быть </w:t>
      </w:r>
      <w:r w:rsidR="004A235C">
        <w:rPr>
          <w:rFonts w:ascii="Times New Roman" w:hAnsi="Times New Roman"/>
          <w:bCs/>
        </w:rPr>
        <w:t>зачислены</w:t>
      </w:r>
      <w:r w:rsidRPr="00A62842">
        <w:rPr>
          <w:rFonts w:ascii="Times New Roman" w:hAnsi="Times New Roman"/>
          <w:bCs/>
        </w:rPr>
        <w:t xml:space="preserve"> на счет Продавца </w:t>
      </w:r>
      <w:r w:rsidRPr="00A62842">
        <w:rPr>
          <w:rFonts w:ascii="Times New Roman" w:hAnsi="Times New Roman"/>
          <w:b/>
          <w:bCs/>
          <w:color w:val="FF0066"/>
          <w:u w:val="single"/>
        </w:rPr>
        <w:t>до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</w:t>
      </w:r>
      <w:r w:rsidR="00214683" w:rsidRPr="00A62842">
        <w:rPr>
          <w:rFonts w:ascii="Times New Roman" w:hAnsi="Times New Roman"/>
          <w:b/>
          <w:bCs/>
          <w:color w:val="FF0066"/>
          <w:u w:val="single"/>
        </w:rPr>
        <w:t>_</w:t>
      </w:r>
      <w:r w:rsidR="00640E40" w:rsidRPr="00640E40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06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="00640E40" w:rsidRPr="00640E40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02</w:t>
      </w:r>
      <w:r w:rsidR="00171FF5"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.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201</w:t>
      </w:r>
      <w:r w:rsidR="00640E40" w:rsidRPr="00640E40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>9</w:t>
      </w:r>
      <w:r w:rsidRPr="00A62842">
        <w:rPr>
          <w:rFonts w:ascii="Times New Roman" w:hAnsi="Times New Roman"/>
          <w:b/>
          <w:bCs/>
          <w:color w:val="FF0066"/>
          <w:u w:val="single"/>
          <w:shd w:val="clear" w:color="auto" w:fill="FFFF00"/>
        </w:rPr>
        <w:t xml:space="preserve"> г.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 xml:space="preserve"> (до </w:t>
      </w:r>
      <w:r w:rsidR="004A1A21" w:rsidRPr="00A62842">
        <w:rPr>
          <w:rFonts w:ascii="Times New Roman" w:hAnsi="Times New Roman"/>
          <w:b/>
          <w:bCs/>
          <w:color w:val="FF0066"/>
          <w:u w:val="single"/>
        </w:rPr>
        <w:t>24</w:t>
      </w:r>
      <w:r w:rsidR="007D2FF7" w:rsidRPr="00A62842">
        <w:rPr>
          <w:rFonts w:ascii="Times New Roman" w:hAnsi="Times New Roman"/>
          <w:b/>
          <w:bCs/>
          <w:color w:val="FF0066"/>
          <w:u w:val="single"/>
        </w:rPr>
        <w:t>-00 МСК)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>Сумма считается уплаченной в момент поступления всей суммы задатка на р/с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AA2A5A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AA2A5A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AA2A5A" w:rsidRDefault="00E65276" w:rsidP="004A235C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4A235C"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4A235C" w:rsidRPr="00AA2A5A">
              <w:rPr>
                <w:rFonts w:ascii="Times New Roman" w:hAnsi="Times New Roman"/>
                <w:color w:val="C00000"/>
                <w:sz w:val="20"/>
                <w:szCs w:val="20"/>
              </w:rPr>
              <w:t>253904525163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AA2A5A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4A235C" w:rsidRDefault="004A235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A235C">
              <w:rPr>
                <w:rFonts w:ascii="Times New Roman" w:hAnsi="Times New Roman"/>
                <w:sz w:val="20"/>
                <w:szCs w:val="20"/>
              </w:rPr>
              <w:t>40817810100100000883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sz w:val="20"/>
                <w:szCs w:val="20"/>
              </w:rPr>
              <w:t>Костап Елена Александровна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A2A5A" w:rsidRDefault="004A235C" w:rsidP="00640E40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A2A5A">
              <w:rPr>
                <w:rFonts w:ascii="Times New Roman" w:hAnsi="Times New Roman"/>
                <w:color w:val="7030A0"/>
              </w:rPr>
              <w:t xml:space="preserve">Задаток для торгов имуществом должника по делу  А51-15788/2017 г. по договору о задатке № 11 от </w:t>
            </w:r>
            <w:r w:rsidR="00640E40" w:rsidRPr="00640E40">
              <w:rPr>
                <w:rFonts w:ascii="Times New Roman" w:hAnsi="Times New Roman"/>
                <w:color w:val="7030A0"/>
              </w:rPr>
              <w:t>24</w:t>
            </w:r>
            <w:r w:rsidRPr="00AA2A5A">
              <w:rPr>
                <w:rFonts w:ascii="Times New Roman" w:hAnsi="Times New Roman"/>
                <w:color w:val="7030A0"/>
              </w:rPr>
              <w:t>.</w:t>
            </w:r>
            <w:r w:rsidR="00640E40" w:rsidRPr="00640E40">
              <w:rPr>
                <w:rFonts w:ascii="Times New Roman" w:hAnsi="Times New Roman"/>
                <w:color w:val="7030A0"/>
              </w:rPr>
              <w:t>12</w:t>
            </w:r>
            <w:r w:rsidRPr="00AA2A5A">
              <w:rPr>
                <w:rFonts w:ascii="Times New Roman" w:hAnsi="Times New Roman"/>
                <w:color w:val="7030A0"/>
              </w:rPr>
              <w:t>.18  по лоту № 1</w:t>
            </w:r>
            <w:r w:rsidR="009908ED" w:rsidRPr="00AA2A5A">
              <w:rPr>
                <w:rFonts w:ascii="Times New Roman" w:hAnsi="Times New Roman"/>
                <w:color w:val="7030A0"/>
              </w:rPr>
              <w:t>. Без НДС.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</w:t>
      </w:r>
      <w:r w:rsidR="00AA2A5A">
        <w:rPr>
          <w:b w:val="0"/>
          <w:bCs w:val="0"/>
          <w:color w:val="002060"/>
          <w:sz w:val="22"/>
          <w:szCs w:val="22"/>
        </w:rPr>
        <w:t xml:space="preserve"> (если  такое условие есть у электронной  торговой площадки) </w:t>
      </w:r>
      <w:r w:rsidRPr="00A62842">
        <w:rPr>
          <w:b w:val="0"/>
          <w:bCs w:val="0"/>
          <w:color w:val="002060"/>
          <w:sz w:val="22"/>
          <w:szCs w:val="22"/>
        </w:rPr>
        <w:t>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AA2A5A" w:rsidRPr="00A62842" w:rsidRDefault="00AA2A5A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>
        <w:rPr>
          <w:b w:val="0"/>
          <w:bCs w:val="0"/>
          <w:color w:val="002060"/>
          <w:sz w:val="22"/>
          <w:szCs w:val="22"/>
        </w:rPr>
        <w:t xml:space="preserve">- В иных  случаях,  при нарушении опубликованных организатором торгов  в  сообщениях на </w:t>
      </w:r>
      <w:hyperlink r:id="rId8" w:history="1">
        <w:r w:rsidRPr="00AA2A5A">
          <w:rPr>
            <w:rStyle w:val="a8"/>
            <w:b w:val="0"/>
            <w:bCs w:val="0"/>
            <w:color w:val="002060"/>
            <w:sz w:val="22"/>
            <w:szCs w:val="22"/>
          </w:rPr>
          <w:t>http://bankrot.fedresurs.ru/</w:t>
        </w:r>
      </w:hyperlink>
      <w:r>
        <w:rPr>
          <w:b w:val="0"/>
          <w:bCs w:val="0"/>
          <w:color w:val="002060"/>
          <w:sz w:val="22"/>
          <w:szCs w:val="22"/>
        </w:rPr>
        <w:t xml:space="preserve"> условий 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</w:t>
      </w:r>
      <w:r w:rsidR="00A807C9">
        <w:rPr>
          <w:b w:val="0"/>
          <w:bCs w:val="0"/>
          <w:sz w:val="22"/>
          <w:szCs w:val="22"/>
        </w:rPr>
        <w:t xml:space="preserve"> только на указанный  счет,</w:t>
      </w:r>
      <w:r w:rsidR="005D0C45" w:rsidRPr="00A62842">
        <w:rPr>
          <w:b w:val="0"/>
          <w:bCs w:val="0"/>
          <w:sz w:val="22"/>
          <w:szCs w:val="22"/>
        </w:rPr>
        <w:t xml:space="preserve"> в соответствии с настоящим договором, проценты не начисляются</w:t>
      </w:r>
      <w:r w:rsidR="00A807C9">
        <w:rPr>
          <w:b w:val="0"/>
          <w:bCs w:val="0"/>
          <w:sz w:val="22"/>
          <w:szCs w:val="22"/>
        </w:rPr>
        <w:t>, и д</w:t>
      </w:r>
      <w:r w:rsidR="005D0C45" w:rsidRPr="00A62842">
        <w:rPr>
          <w:b w:val="0"/>
          <w:bCs w:val="0"/>
          <w:sz w:val="22"/>
          <w:szCs w:val="22"/>
        </w:rPr>
        <w:t>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lastRenderedPageBreak/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A807C9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A807C9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A807C9" w:rsidP="00550F79">
            <w:pPr>
              <w:pStyle w:val="af0"/>
              <w:rPr>
                <w:rFonts w:ascii="Times New Roman" w:hAnsi="Times New Roman"/>
              </w:rPr>
            </w:pPr>
            <w:r w:rsidRPr="00A807C9">
              <w:rPr>
                <w:rFonts w:ascii="Times New Roman" w:hAnsi="Times New Roman"/>
              </w:rPr>
              <w:t>Костап Елен</w:t>
            </w:r>
            <w:r>
              <w:rPr>
                <w:rFonts w:ascii="Times New Roman" w:hAnsi="Times New Roman"/>
              </w:rPr>
              <w:t>ы</w:t>
            </w:r>
            <w:r w:rsidRPr="00A807C9">
              <w:rPr>
                <w:rFonts w:ascii="Times New Roman" w:hAnsi="Times New Roman"/>
              </w:rPr>
              <w:t> Александровн</w:t>
            </w:r>
            <w:r>
              <w:rPr>
                <w:rFonts w:ascii="Times New Roman" w:hAnsi="Times New Roman"/>
              </w:rPr>
              <w:t xml:space="preserve">ы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 w:rsidR="00A807C9">
              <w:rPr>
                <w:rFonts w:ascii="Times New Roman" w:hAnsi="Times New Roman"/>
              </w:rPr>
              <w:t xml:space="preserve"> </w:t>
            </w:r>
            <w:r w:rsidR="00A807C9"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9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F165DC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640E40">
        <w:rPr>
          <w:rFonts w:ascii="Times New Roman" w:hAnsi="Times New Roman"/>
          <w:lang w:val="en-US"/>
        </w:rPr>
        <w:t>9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1"/>
      <w:footerReference w:type="default" r:id="rId12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70" w:rsidRDefault="00901F70">
      <w:r>
        <w:separator/>
      </w:r>
    </w:p>
  </w:endnote>
  <w:endnote w:type="continuationSeparator" w:id="0">
    <w:p w:rsidR="00901F70" w:rsidRDefault="0090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F165DC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F165DC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7FEE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CE6303" w:rsidRDefault="00F165DC" w:rsidP="00F602C9">
    <w:pPr>
      <w:pStyle w:val="a9"/>
      <w:ind w:right="55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D87FEE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ПАПКИ\БАНКРОТСТВО_2008\А_ФИЗИКИ_БАНКРОТЫ\КОСТАП ЕЛЕНА АЛЕКСАН\ТОРГИ_ПОЛОЖЕНИЯ_КОСТАП\АУКЦИОН_КОСТАП_№2\112_ДОГОВОР ЗАДАТКА_КОСТАП_3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70" w:rsidRDefault="00901F70">
      <w:r>
        <w:separator/>
      </w:r>
    </w:p>
  </w:footnote>
  <w:footnote w:type="continuationSeparator" w:id="0">
    <w:p w:rsidR="00901F70" w:rsidRDefault="00901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1146"/>
    <w:rsid w:val="0000311B"/>
    <w:rsid w:val="00007F6A"/>
    <w:rsid w:val="00036939"/>
    <w:rsid w:val="00046EFB"/>
    <w:rsid w:val="00082965"/>
    <w:rsid w:val="000D6A76"/>
    <w:rsid w:val="000E347E"/>
    <w:rsid w:val="001001A7"/>
    <w:rsid w:val="001050E6"/>
    <w:rsid w:val="00105A5C"/>
    <w:rsid w:val="00113296"/>
    <w:rsid w:val="00125C61"/>
    <w:rsid w:val="001463B9"/>
    <w:rsid w:val="001578DB"/>
    <w:rsid w:val="00171FF5"/>
    <w:rsid w:val="00194D47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C1C75"/>
    <w:rsid w:val="002D0C70"/>
    <w:rsid w:val="003162E6"/>
    <w:rsid w:val="00323631"/>
    <w:rsid w:val="003236CD"/>
    <w:rsid w:val="00340C7C"/>
    <w:rsid w:val="0034273E"/>
    <w:rsid w:val="0034444E"/>
    <w:rsid w:val="00347DE9"/>
    <w:rsid w:val="003569E8"/>
    <w:rsid w:val="00367099"/>
    <w:rsid w:val="00370C1E"/>
    <w:rsid w:val="00371315"/>
    <w:rsid w:val="003B4B1C"/>
    <w:rsid w:val="003E3D56"/>
    <w:rsid w:val="003F5E3E"/>
    <w:rsid w:val="00416366"/>
    <w:rsid w:val="0042070B"/>
    <w:rsid w:val="00445836"/>
    <w:rsid w:val="00447363"/>
    <w:rsid w:val="004761E6"/>
    <w:rsid w:val="004A1A21"/>
    <w:rsid w:val="004A235C"/>
    <w:rsid w:val="004C27F7"/>
    <w:rsid w:val="00537966"/>
    <w:rsid w:val="00542E96"/>
    <w:rsid w:val="00550F79"/>
    <w:rsid w:val="00554F59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40E40"/>
    <w:rsid w:val="00641906"/>
    <w:rsid w:val="0065026C"/>
    <w:rsid w:val="00651790"/>
    <w:rsid w:val="00673D47"/>
    <w:rsid w:val="006834CA"/>
    <w:rsid w:val="00685AAE"/>
    <w:rsid w:val="006C2DFB"/>
    <w:rsid w:val="006E01F3"/>
    <w:rsid w:val="006E2EBA"/>
    <w:rsid w:val="006F125D"/>
    <w:rsid w:val="00700184"/>
    <w:rsid w:val="00700DD4"/>
    <w:rsid w:val="00711B7B"/>
    <w:rsid w:val="0072737B"/>
    <w:rsid w:val="00737FE2"/>
    <w:rsid w:val="0077000D"/>
    <w:rsid w:val="00783741"/>
    <w:rsid w:val="007A052E"/>
    <w:rsid w:val="007D2FF7"/>
    <w:rsid w:val="008154B0"/>
    <w:rsid w:val="0082058F"/>
    <w:rsid w:val="0083734F"/>
    <w:rsid w:val="0085211E"/>
    <w:rsid w:val="0085663D"/>
    <w:rsid w:val="008729B1"/>
    <w:rsid w:val="008B34A7"/>
    <w:rsid w:val="008E79B6"/>
    <w:rsid w:val="00901F70"/>
    <w:rsid w:val="009138E6"/>
    <w:rsid w:val="00920C1C"/>
    <w:rsid w:val="009210AB"/>
    <w:rsid w:val="009233EC"/>
    <w:rsid w:val="0095055F"/>
    <w:rsid w:val="00951E37"/>
    <w:rsid w:val="009666E4"/>
    <w:rsid w:val="00980BE2"/>
    <w:rsid w:val="009865AA"/>
    <w:rsid w:val="00990368"/>
    <w:rsid w:val="009908ED"/>
    <w:rsid w:val="009B6793"/>
    <w:rsid w:val="009B6E23"/>
    <w:rsid w:val="009B7E8B"/>
    <w:rsid w:val="009C70C7"/>
    <w:rsid w:val="009E071F"/>
    <w:rsid w:val="00A00001"/>
    <w:rsid w:val="00A233A9"/>
    <w:rsid w:val="00A34FB8"/>
    <w:rsid w:val="00A6026F"/>
    <w:rsid w:val="00A61F34"/>
    <w:rsid w:val="00A62842"/>
    <w:rsid w:val="00A63E07"/>
    <w:rsid w:val="00A807C9"/>
    <w:rsid w:val="00A901DE"/>
    <w:rsid w:val="00A97025"/>
    <w:rsid w:val="00AA2A5A"/>
    <w:rsid w:val="00AB4BF8"/>
    <w:rsid w:val="00AB524A"/>
    <w:rsid w:val="00AD56CF"/>
    <w:rsid w:val="00B0543D"/>
    <w:rsid w:val="00B1601C"/>
    <w:rsid w:val="00B7460E"/>
    <w:rsid w:val="00BC66C2"/>
    <w:rsid w:val="00C022E4"/>
    <w:rsid w:val="00C10610"/>
    <w:rsid w:val="00C21FCD"/>
    <w:rsid w:val="00C42379"/>
    <w:rsid w:val="00C55A4C"/>
    <w:rsid w:val="00C85C00"/>
    <w:rsid w:val="00CA7F17"/>
    <w:rsid w:val="00CB0B5C"/>
    <w:rsid w:val="00CB2E6A"/>
    <w:rsid w:val="00CB5F73"/>
    <w:rsid w:val="00CC1B8F"/>
    <w:rsid w:val="00CC601D"/>
    <w:rsid w:val="00CE1307"/>
    <w:rsid w:val="00CE1501"/>
    <w:rsid w:val="00CE42DC"/>
    <w:rsid w:val="00CE6303"/>
    <w:rsid w:val="00D00310"/>
    <w:rsid w:val="00D00C76"/>
    <w:rsid w:val="00D276C0"/>
    <w:rsid w:val="00D317E5"/>
    <w:rsid w:val="00D56142"/>
    <w:rsid w:val="00D63C30"/>
    <w:rsid w:val="00D86380"/>
    <w:rsid w:val="00D87FEE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C1838"/>
    <w:rsid w:val="00F05616"/>
    <w:rsid w:val="00F0575E"/>
    <w:rsid w:val="00F10A8C"/>
    <w:rsid w:val="00F121E6"/>
    <w:rsid w:val="00F165DC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A235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A23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6</cp:revision>
  <cp:lastPrinted>2018-12-17T11:07:00Z</cp:lastPrinted>
  <dcterms:created xsi:type="dcterms:W3CDTF">2018-11-05T10:01:00Z</dcterms:created>
  <dcterms:modified xsi:type="dcterms:W3CDTF">2018-12-17T11:08:00Z</dcterms:modified>
</cp:coreProperties>
</file>