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6B" w:rsidRPr="00182D0C" w:rsidRDefault="0046716B" w:rsidP="0046716B">
      <w:pPr>
        <w:jc w:val="center"/>
        <w:rPr>
          <w:b/>
          <w:sz w:val="28"/>
          <w:szCs w:val="28"/>
        </w:rPr>
      </w:pPr>
      <w:r w:rsidRPr="00722966">
        <w:rPr>
          <w:b/>
          <w:sz w:val="28"/>
          <w:szCs w:val="28"/>
        </w:rPr>
        <w:t>Договор о задатке</w:t>
      </w:r>
      <w:r>
        <w:rPr>
          <w:b/>
          <w:sz w:val="28"/>
          <w:szCs w:val="28"/>
        </w:rPr>
        <w:t xml:space="preserve"> </w:t>
      </w:r>
    </w:p>
    <w:p w:rsidR="0046716B" w:rsidRPr="00722966" w:rsidRDefault="0046716B" w:rsidP="0046716B">
      <w:pPr>
        <w:jc w:val="both"/>
      </w:pPr>
    </w:p>
    <w:p w:rsidR="0046716B" w:rsidRPr="00F71E35" w:rsidRDefault="009E2F3F" w:rsidP="009E2F3F">
      <w:pPr>
        <w:widowControl/>
        <w:tabs>
          <w:tab w:val="left" w:pos="1276"/>
        </w:tabs>
        <w:suppressAutoHyphens w:val="0"/>
        <w:autoSpaceDN w:val="0"/>
        <w:adjustRightInd w:val="0"/>
        <w:jc w:val="both"/>
      </w:pPr>
      <w:r w:rsidRPr="009E2F3F">
        <w:t xml:space="preserve">Организатор торгов - Конкурсный управляющий ООО «Комбинат строительных конструкций» Рожков Юрий Владимирович (Адрес: 109147, г. Москва, а/я 194 (для Рожкова Ю.В.); ИНН 771812136226, СНИЛС 003-731-01185), член СРО Ассоциация ПАУ ЦФО (ОГРН 1027700542209, ИНН 7705431418, 109316, Москва, </w:t>
      </w:r>
      <w:proofErr w:type="spellStart"/>
      <w:r w:rsidRPr="009E2F3F">
        <w:t>Остаповский</w:t>
      </w:r>
      <w:proofErr w:type="spellEnd"/>
      <w:r w:rsidRPr="009E2F3F">
        <w:t xml:space="preserve"> </w:t>
      </w:r>
      <w:proofErr w:type="spellStart"/>
      <w:r w:rsidRPr="009E2F3F">
        <w:t>пр</w:t>
      </w:r>
      <w:proofErr w:type="spellEnd"/>
      <w:r w:rsidRPr="009E2F3F">
        <w:t>-д, д. 3, стр. 6, оф. 201, 208), действующий на основании Решения Арбитражного суда Алтайского края от 28.06.2017 по делу № А03-20643/2016</w:t>
      </w:r>
      <w:r w:rsidR="0046716B" w:rsidRPr="00F71E35">
        <w:t xml:space="preserve">(далее </w:t>
      </w:r>
      <w:r w:rsidR="00832906" w:rsidRPr="00F71E35">
        <w:t>–</w:t>
      </w:r>
      <w:r w:rsidR="0046716B" w:rsidRPr="00F71E35">
        <w:t xml:space="preserve"> </w:t>
      </w:r>
      <w:r w:rsidR="00821FE2" w:rsidRPr="00F71E35">
        <w:t>«</w:t>
      </w:r>
      <w:r w:rsidR="00913B35" w:rsidRPr="009E2F3F">
        <w:t>Организатор</w:t>
      </w:r>
      <w:r w:rsidR="00832906" w:rsidRPr="009E2F3F">
        <w:t xml:space="preserve"> </w:t>
      </w:r>
      <w:r w:rsidR="00913B35" w:rsidRPr="009E2F3F">
        <w:t>торгов</w:t>
      </w:r>
      <w:r w:rsidR="00821FE2" w:rsidRPr="009E2F3F">
        <w:t>»</w:t>
      </w:r>
      <w:r w:rsidR="0046716B" w:rsidRPr="00F71E35">
        <w:t>) и</w:t>
      </w:r>
      <w:r w:rsidR="00913B35" w:rsidRPr="00F71E35">
        <w:t xml:space="preserve"> любое лицо, подавшее заявку на участие </w:t>
      </w:r>
      <w:r w:rsidR="0046716B" w:rsidRPr="00F71E35">
        <w:t xml:space="preserve"> </w:t>
      </w:r>
      <w:r w:rsidR="00913B35" w:rsidRPr="00F71E35">
        <w:t>в торгах, указанных в информационном</w:t>
      </w:r>
      <w:r w:rsidR="007B199D" w:rsidRPr="00F71E35">
        <w:t xml:space="preserve"> извещении (</w:t>
      </w:r>
      <w:r w:rsidR="0046716B" w:rsidRPr="00F71E35">
        <w:t>далее</w:t>
      </w:r>
      <w:r w:rsidR="00832906" w:rsidRPr="00F71E35">
        <w:t xml:space="preserve"> – </w:t>
      </w:r>
      <w:r w:rsidR="00821FE2" w:rsidRPr="00F71E35">
        <w:t>«</w:t>
      </w:r>
      <w:r w:rsidR="00821FE2" w:rsidRPr="00F71E35">
        <w:rPr>
          <w:b/>
        </w:rPr>
        <w:t>Участник»</w:t>
      </w:r>
      <w:r w:rsidR="007B199D" w:rsidRPr="00F71E35">
        <w:t>)</w:t>
      </w:r>
      <w:r w:rsidR="0046716B" w:rsidRPr="00F71E35">
        <w:t xml:space="preserve">, </w:t>
      </w:r>
      <w:r w:rsidR="00821FE2" w:rsidRPr="00F71E35">
        <w:t xml:space="preserve">совместно именуемые </w:t>
      </w:r>
      <w:r w:rsidR="00821FE2" w:rsidRPr="00F71E35">
        <w:rPr>
          <w:b/>
        </w:rPr>
        <w:t>«Стороны»</w:t>
      </w:r>
      <w:r w:rsidR="00821FE2" w:rsidRPr="00F71E35">
        <w:t xml:space="preserve"> </w:t>
      </w:r>
      <w:r w:rsidR="0046716B" w:rsidRPr="00F71E35">
        <w:t>заключили настоящий договор о нижеследующем:</w:t>
      </w:r>
    </w:p>
    <w:p w:rsidR="0046716B" w:rsidRPr="00F71E35" w:rsidRDefault="0046716B" w:rsidP="00F71E35">
      <w:pPr>
        <w:tabs>
          <w:tab w:val="left" w:pos="1276"/>
        </w:tabs>
        <w:ind w:firstLine="720"/>
        <w:jc w:val="both"/>
      </w:pPr>
    </w:p>
    <w:p w:rsidR="0046716B" w:rsidRPr="00F71E35" w:rsidRDefault="0046716B" w:rsidP="00F71E35">
      <w:pPr>
        <w:numPr>
          <w:ilvl w:val="0"/>
          <w:numId w:val="2"/>
        </w:numPr>
        <w:tabs>
          <w:tab w:val="left" w:pos="426"/>
          <w:tab w:val="left" w:pos="1276"/>
        </w:tabs>
        <w:ind w:left="0" w:firstLine="0"/>
        <w:jc w:val="center"/>
      </w:pPr>
      <w:r w:rsidRPr="00F71E35">
        <w:t>ПРЕДМЕТ ДОГОВОРА</w:t>
      </w:r>
    </w:p>
    <w:p w:rsidR="0046716B" w:rsidRPr="00F71E35" w:rsidRDefault="0046716B" w:rsidP="00F71E35">
      <w:pPr>
        <w:tabs>
          <w:tab w:val="left" w:pos="1276"/>
        </w:tabs>
        <w:ind w:firstLine="720"/>
        <w:jc w:val="both"/>
      </w:pPr>
    </w:p>
    <w:p w:rsidR="00832906" w:rsidRDefault="007B199D" w:rsidP="00F71E35">
      <w:pPr>
        <w:widowControl/>
        <w:numPr>
          <w:ilvl w:val="1"/>
          <w:numId w:val="11"/>
        </w:numPr>
        <w:tabs>
          <w:tab w:val="left" w:pos="1276"/>
        </w:tabs>
        <w:suppressAutoHyphens w:val="0"/>
        <w:autoSpaceDN w:val="0"/>
        <w:adjustRightInd w:val="0"/>
        <w:ind w:left="0" w:firstLine="720"/>
        <w:jc w:val="both"/>
      </w:pPr>
      <w:r w:rsidRPr="00F71E35">
        <w:t xml:space="preserve">Участник, в целях его участия </w:t>
      </w:r>
      <w:r w:rsidRPr="00F71E35">
        <w:rPr>
          <w:rFonts w:hint="eastAsia"/>
        </w:rPr>
        <w:t>в</w:t>
      </w:r>
      <w:r w:rsidRPr="00F71E35">
        <w:t xml:space="preserve"> </w:t>
      </w:r>
      <w:r w:rsidRPr="00F71E35">
        <w:rPr>
          <w:rFonts w:hint="eastAsia"/>
        </w:rPr>
        <w:t>торгах</w:t>
      </w:r>
      <w:r w:rsidRPr="00F71E35">
        <w:t xml:space="preserve"> </w:t>
      </w:r>
      <w:r w:rsidRPr="00F71E35">
        <w:rPr>
          <w:rFonts w:hint="eastAsia"/>
        </w:rPr>
        <w:t>при</w:t>
      </w:r>
      <w:r w:rsidRPr="00F71E35">
        <w:t xml:space="preserve"> </w:t>
      </w:r>
      <w:r w:rsidRPr="00F71E35">
        <w:rPr>
          <w:rFonts w:hint="eastAsia"/>
        </w:rPr>
        <w:t>продаже</w:t>
      </w:r>
      <w:r w:rsidRPr="00F71E35">
        <w:t xml:space="preserve"> </w:t>
      </w:r>
      <w:r w:rsidRPr="00F71E35">
        <w:rPr>
          <w:rFonts w:hint="eastAsia"/>
        </w:rPr>
        <w:t>предприятия</w:t>
      </w:r>
      <w:r w:rsidRPr="00F71E35">
        <w:t xml:space="preserve"> (</w:t>
      </w:r>
      <w:r w:rsidRPr="00F71E35">
        <w:rPr>
          <w:rFonts w:hint="eastAsia"/>
        </w:rPr>
        <w:t>имущества</w:t>
      </w:r>
      <w:r w:rsidRPr="00F71E35">
        <w:t xml:space="preserve">) </w:t>
      </w:r>
      <w:r w:rsidRPr="00F71E35">
        <w:rPr>
          <w:rFonts w:hint="eastAsia"/>
        </w:rPr>
        <w:t>должников</w:t>
      </w:r>
      <w:r w:rsidRPr="00F71E35">
        <w:t xml:space="preserve"> </w:t>
      </w:r>
      <w:r w:rsidRPr="00F71E35">
        <w:rPr>
          <w:rFonts w:hint="eastAsia"/>
        </w:rPr>
        <w:t>в</w:t>
      </w:r>
      <w:r w:rsidRPr="00F71E35">
        <w:t xml:space="preserve"> </w:t>
      </w:r>
      <w:r w:rsidRPr="00F71E35">
        <w:rPr>
          <w:rFonts w:hint="eastAsia"/>
        </w:rPr>
        <w:t>ходе</w:t>
      </w:r>
      <w:r w:rsidRPr="00F71E35">
        <w:t xml:space="preserve"> п</w:t>
      </w:r>
      <w:r w:rsidRPr="00F71E35">
        <w:rPr>
          <w:rFonts w:hint="eastAsia"/>
        </w:rPr>
        <w:t>роцедур</w:t>
      </w:r>
      <w:r w:rsidRPr="00F71E35">
        <w:t>, п</w:t>
      </w:r>
      <w:r w:rsidRPr="00F71E35">
        <w:rPr>
          <w:rFonts w:hint="eastAsia"/>
        </w:rPr>
        <w:t>рименяемых</w:t>
      </w:r>
      <w:r w:rsidRPr="00F71E35">
        <w:t xml:space="preserve"> </w:t>
      </w:r>
      <w:r w:rsidRPr="00F71E35">
        <w:rPr>
          <w:rFonts w:hint="eastAsia"/>
        </w:rPr>
        <w:t>в</w:t>
      </w:r>
      <w:r w:rsidRPr="00F71E35">
        <w:t xml:space="preserve"> </w:t>
      </w:r>
      <w:r w:rsidRPr="00F71E35">
        <w:rPr>
          <w:rFonts w:hint="eastAsia"/>
        </w:rPr>
        <w:t>деле</w:t>
      </w:r>
      <w:r w:rsidRPr="00F71E35">
        <w:t xml:space="preserve"> </w:t>
      </w:r>
      <w:r w:rsidRPr="00F71E35">
        <w:rPr>
          <w:rFonts w:hint="eastAsia"/>
        </w:rPr>
        <w:t>о</w:t>
      </w:r>
      <w:r w:rsidRPr="00F71E35">
        <w:t xml:space="preserve"> </w:t>
      </w:r>
      <w:r w:rsidRPr="00F71E35">
        <w:rPr>
          <w:rFonts w:hint="eastAsia"/>
        </w:rPr>
        <w:t>банкротстве</w:t>
      </w:r>
      <w:r w:rsidR="008C73C7">
        <w:t xml:space="preserve"> (далее – торги)</w:t>
      </w:r>
      <w:r w:rsidRPr="00F71E35">
        <w:t xml:space="preserve">, указанных в </w:t>
      </w:r>
      <w:r w:rsidRPr="00F71E35">
        <w:rPr>
          <w:rStyle w:val="paragraph"/>
          <w:bCs/>
        </w:rPr>
        <w:t>информационном сообщении</w:t>
      </w:r>
      <w:r w:rsidR="00832906" w:rsidRPr="00F71E35">
        <w:t xml:space="preserve"> о проведении торгов</w:t>
      </w:r>
      <w:r w:rsidRPr="00F71E35">
        <w:t xml:space="preserve">, обязуется перечислить </w:t>
      </w:r>
      <w:r w:rsidR="00832906" w:rsidRPr="00F71E35">
        <w:t>задаток в размере и на расчетный</w:t>
      </w:r>
      <w:r w:rsidRPr="00F71E35">
        <w:t xml:space="preserve"> счет</w:t>
      </w:r>
      <w:r w:rsidR="004427A2" w:rsidRPr="00F71E35">
        <w:t>, указанный Организатором торгов в информационном сообщении</w:t>
      </w:r>
      <w:r w:rsidR="008C73C7">
        <w:t xml:space="preserve"> </w:t>
      </w:r>
      <w:r w:rsidR="008C73C7" w:rsidRPr="00F71E35">
        <w:t>о проведении торгов</w:t>
      </w:r>
      <w:r w:rsidR="00832906" w:rsidRPr="00F71E35">
        <w:t>.</w:t>
      </w:r>
    </w:p>
    <w:p w:rsidR="008C73C7" w:rsidRPr="00F71E35" w:rsidRDefault="008C73C7" w:rsidP="00F71E35">
      <w:pPr>
        <w:widowControl/>
        <w:numPr>
          <w:ilvl w:val="1"/>
          <w:numId w:val="11"/>
        </w:numPr>
        <w:tabs>
          <w:tab w:val="left" w:pos="1276"/>
        </w:tabs>
        <w:suppressAutoHyphens w:val="0"/>
        <w:autoSpaceDN w:val="0"/>
        <w:adjustRightInd w:val="0"/>
        <w:ind w:left="0" w:firstLine="720"/>
        <w:jc w:val="both"/>
      </w:pPr>
      <w:r w:rsidRPr="00F71E35">
        <w:rPr>
          <w:rStyle w:val="paragraph"/>
          <w:bCs/>
        </w:rPr>
        <w:t>Информационно</w:t>
      </w:r>
      <w:r>
        <w:rPr>
          <w:rStyle w:val="paragraph"/>
          <w:bCs/>
        </w:rPr>
        <w:t xml:space="preserve">е </w:t>
      </w:r>
      <w:r w:rsidRPr="00F71E35">
        <w:rPr>
          <w:rStyle w:val="paragraph"/>
          <w:bCs/>
        </w:rPr>
        <w:t>сообщени</w:t>
      </w:r>
      <w:r>
        <w:rPr>
          <w:rStyle w:val="paragraph"/>
          <w:bCs/>
        </w:rPr>
        <w:t>е</w:t>
      </w:r>
      <w:r w:rsidRPr="00F71E35">
        <w:t xml:space="preserve"> о проведении торгов по лоту, на который подается заявка</w:t>
      </w:r>
      <w:r>
        <w:t>,</w:t>
      </w:r>
      <w:r w:rsidRPr="00F71E35">
        <w:t xml:space="preserve"> явля</w:t>
      </w:r>
      <w:r>
        <w:t>ет</w:t>
      </w:r>
      <w:r w:rsidRPr="00F71E35">
        <w:t>ся неотъемлемой частью настоящего договора</w:t>
      </w:r>
      <w:r w:rsidR="00FB7D65">
        <w:t>.</w:t>
      </w:r>
    </w:p>
    <w:p w:rsidR="00832906" w:rsidRPr="00F71E35" w:rsidRDefault="00832906" w:rsidP="00F71E35">
      <w:pPr>
        <w:numPr>
          <w:ilvl w:val="1"/>
          <w:numId w:val="11"/>
        </w:numPr>
        <w:tabs>
          <w:tab w:val="left" w:pos="1276"/>
        </w:tabs>
        <w:ind w:left="0" w:firstLine="720"/>
        <w:jc w:val="both"/>
      </w:pPr>
      <w:r w:rsidRPr="00F71E35">
        <w:t xml:space="preserve">Задаток, указанный в пункте 1.1 настоящего договора, вносится Участником в качестве обеспечения исполнения им обязательств по </w:t>
      </w:r>
      <w:r w:rsidR="00E873C0" w:rsidRPr="00E873C0">
        <w:t>заключению и исполнению договора</w:t>
      </w:r>
      <w:r w:rsidR="00E873C0" w:rsidRPr="00F71E35">
        <w:t xml:space="preserve"> </w:t>
      </w:r>
      <w:r w:rsidRPr="00F71E35">
        <w:t>купли-продажи, которые могут возникнуть у Участника, если он будет признан победителем торгов по продаже имущества должника, входящего в лот (далее – имущество)</w:t>
      </w:r>
      <w:r w:rsidR="00C70739" w:rsidRPr="00F71E35">
        <w:t xml:space="preserve">, по оплате имущества и в счет всех причитающихся с Участника платежей, а так же исполнения иных обязательств Участника по заключенному между Участником и </w:t>
      </w:r>
      <w:r w:rsidR="003A75A9">
        <w:t xml:space="preserve">арбитражным </w:t>
      </w:r>
      <w:r w:rsidR="003A75A9" w:rsidRPr="00F71E35">
        <w:t xml:space="preserve">управляющим </w:t>
      </w:r>
      <w:r w:rsidR="00C70739" w:rsidRPr="00F71E35">
        <w:t>договора купли-продажи</w:t>
      </w:r>
      <w:r w:rsidRPr="00F71E35">
        <w:t>.</w:t>
      </w:r>
      <w:r w:rsidR="00C70739" w:rsidRPr="00F71E35">
        <w:t xml:space="preserve"> </w:t>
      </w:r>
    </w:p>
    <w:p w:rsidR="0046716B" w:rsidRPr="00F71E35" w:rsidRDefault="0028311F" w:rsidP="00F71E35">
      <w:pPr>
        <w:numPr>
          <w:ilvl w:val="1"/>
          <w:numId w:val="11"/>
        </w:numPr>
        <w:tabs>
          <w:tab w:val="left" w:pos="1276"/>
        </w:tabs>
        <w:ind w:left="0" w:firstLine="720"/>
        <w:jc w:val="both"/>
      </w:pPr>
      <w:r w:rsidRPr="00F71E35">
        <w:t>В случае не поступления (неполного поступления) суммы задатка в установленный срок на счет, указанный Организатором торгов в информационном сообщении о проведении торгов, обязательства Участника по внесению задатка считаются неисполненными, что признается отказом Участника от участия в торгах и является основанием для отказа в допуске Участника к торгам.</w:t>
      </w:r>
    </w:p>
    <w:p w:rsidR="00426580" w:rsidRPr="00F71E35" w:rsidRDefault="00426580" w:rsidP="005C1139">
      <w:pPr>
        <w:widowControl/>
        <w:tabs>
          <w:tab w:val="left" w:pos="1276"/>
        </w:tabs>
        <w:suppressAutoHyphens w:val="0"/>
        <w:autoSpaceDN w:val="0"/>
        <w:adjustRightInd w:val="0"/>
        <w:ind w:firstLine="709"/>
        <w:jc w:val="both"/>
      </w:pPr>
      <w:r>
        <w:t>1.5</w:t>
      </w:r>
      <w:r w:rsidRPr="005C1139">
        <w:t>. Датой внесения задатка считается дата блокирования денежных средств на счете Уч</w:t>
      </w:r>
      <w:r w:rsidR="00BD6E5A" w:rsidRPr="005C1139">
        <w:t xml:space="preserve">астника на электронной </w:t>
      </w:r>
      <w:r w:rsidR="00BD6E5A" w:rsidRPr="000F1119">
        <w:t>площадке</w:t>
      </w:r>
      <w:r w:rsidRPr="000F1119">
        <w:t xml:space="preserve"> (в случае, если</w:t>
      </w:r>
      <w:r w:rsidRPr="005C1139">
        <w:t xml:space="preserve"> задаток перечисляется на счет Оператора электронной площадки) или дата поступления денежных средств </w:t>
      </w:r>
      <w:r w:rsidR="005402AC" w:rsidRPr="005C1139">
        <w:t xml:space="preserve">на </w:t>
      </w:r>
      <w:r w:rsidR="00BD6E5A" w:rsidRPr="005C1139">
        <w:t>иной</w:t>
      </w:r>
      <w:r w:rsidR="005402AC" w:rsidRPr="005C1139">
        <w:t xml:space="preserve"> </w:t>
      </w:r>
      <w:r w:rsidRPr="005C1139">
        <w:t>счет, указанный Организатором торгов в информационном сообщении о проведении торгов</w:t>
      </w:r>
      <w:r w:rsidR="00BD6E5A" w:rsidRPr="005C1139">
        <w:t>.</w:t>
      </w:r>
    </w:p>
    <w:p w:rsidR="00F71E35" w:rsidRPr="00F71E35" w:rsidRDefault="00F71E35" w:rsidP="00F71E35">
      <w:pPr>
        <w:widowControl/>
        <w:numPr>
          <w:ilvl w:val="1"/>
          <w:numId w:val="11"/>
        </w:numPr>
        <w:tabs>
          <w:tab w:val="left" w:pos="1276"/>
        </w:tabs>
        <w:suppressAutoHyphens w:val="0"/>
        <w:autoSpaceDN w:val="0"/>
        <w:adjustRightInd w:val="0"/>
        <w:ind w:left="0" w:firstLine="720"/>
        <w:jc w:val="both"/>
        <w:rPr>
          <w:kern w:val="2"/>
        </w:rPr>
      </w:pPr>
      <w:r w:rsidRPr="00F71E35">
        <w:t>На денежные средства, перечисленные в соответствии с настоящим Договором, проценты не начисляются.</w:t>
      </w:r>
      <w:bookmarkStart w:id="0" w:name="sub_25"/>
    </w:p>
    <w:bookmarkEnd w:id="0"/>
    <w:p w:rsidR="0028311F" w:rsidRPr="00F71E35" w:rsidRDefault="0028311F" w:rsidP="00F71E35">
      <w:pPr>
        <w:tabs>
          <w:tab w:val="left" w:pos="1276"/>
        </w:tabs>
        <w:ind w:firstLine="720"/>
        <w:jc w:val="both"/>
      </w:pPr>
    </w:p>
    <w:p w:rsidR="00BC6F71" w:rsidRPr="00F71E35" w:rsidRDefault="0046716B" w:rsidP="00F71E35">
      <w:pPr>
        <w:numPr>
          <w:ilvl w:val="0"/>
          <w:numId w:val="11"/>
        </w:numPr>
        <w:tabs>
          <w:tab w:val="left" w:pos="1134"/>
        </w:tabs>
        <w:ind w:left="0" w:firstLine="720"/>
        <w:jc w:val="center"/>
      </w:pPr>
      <w:r w:rsidRPr="00F71E35">
        <w:t>ПОРЯДОК ЗАКЛЮЧЕНИЯ ДОГОВОРА</w:t>
      </w:r>
    </w:p>
    <w:p w:rsidR="00BC6F71" w:rsidRPr="00F71E35" w:rsidRDefault="00BC6F71" w:rsidP="00F71E35">
      <w:pPr>
        <w:tabs>
          <w:tab w:val="left" w:pos="1276"/>
        </w:tabs>
        <w:ind w:firstLine="720"/>
      </w:pPr>
    </w:p>
    <w:p w:rsidR="009D3159" w:rsidRPr="00F71E35" w:rsidRDefault="00BC6F71" w:rsidP="00F71E35">
      <w:pPr>
        <w:tabs>
          <w:tab w:val="left" w:pos="1276"/>
        </w:tabs>
        <w:ind w:firstLine="720"/>
        <w:jc w:val="both"/>
      </w:pPr>
      <w:r w:rsidRPr="00F71E35">
        <w:t>2</w:t>
      </w:r>
      <w:r w:rsidR="009D3159" w:rsidRPr="00F71E35">
        <w:t xml:space="preserve">.1. Настоящий договор, размещенный в </w:t>
      </w:r>
      <w:r w:rsidR="009D3159" w:rsidRPr="00F71E35">
        <w:rPr>
          <w:rStyle w:val="paragraph"/>
          <w:bCs/>
        </w:rPr>
        <w:t>информационном сообщении</w:t>
      </w:r>
      <w:r w:rsidR="009D3159" w:rsidRPr="00F71E35">
        <w:t xml:space="preserve"> о проведении торгов </w:t>
      </w:r>
      <w:r w:rsidR="009E2F3F" w:rsidRPr="009E2F3F">
        <w:t>на электронной площадке «Российский аукционный дом», расположенной в сети Интернет по адресу www.lot-online.ru</w:t>
      </w:r>
      <w:r w:rsidR="009D3159" w:rsidRPr="00F71E35">
        <w:t>, является в соответствии со статьей 428 Гражданского кодекса Российской Феде</w:t>
      </w:r>
      <w:bookmarkStart w:id="1" w:name="_GoBack"/>
      <w:bookmarkEnd w:id="1"/>
      <w:r w:rsidR="009D3159" w:rsidRPr="00F71E35">
        <w:t xml:space="preserve">рации договором присоединения, условия которого определены в стандартной форме </w:t>
      </w:r>
      <w:proofErr w:type="gramStart"/>
      <w:r w:rsidR="009D3159" w:rsidRPr="00F71E35">
        <w:t>и  могут</w:t>
      </w:r>
      <w:proofErr w:type="gramEnd"/>
      <w:r w:rsidR="009D3159" w:rsidRPr="00F71E35">
        <w:t xml:space="preserve"> быть приняты Сторонами не иначе, как путем присоединения к настоящему договору в целом.</w:t>
      </w:r>
    </w:p>
    <w:p w:rsidR="009D3159" w:rsidRPr="00F71E35" w:rsidRDefault="00BC6F71" w:rsidP="00F71E35">
      <w:pPr>
        <w:tabs>
          <w:tab w:val="left" w:pos="1276"/>
        </w:tabs>
        <w:ind w:firstLine="720"/>
        <w:jc w:val="both"/>
        <w:rPr>
          <w:bCs/>
        </w:rPr>
      </w:pPr>
      <w:r w:rsidRPr="00F71E35">
        <w:rPr>
          <w:bCs/>
        </w:rPr>
        <w:t>2</w:t>
      </w:r>
      <w:r w:rsidR="009D3159" w:rsidRPr="00F71E35">
        <w:rPr>
          <w:bCs/>
        </w:rPr>
        <w:t>.</w:t>
      </w:r>
      <w:r w:rsidRPr="00F71E35">
        <w:rPr>
          <w:bCs/>
        </w:rPr>
        <w:t>2</w:t>
      </w:r>
      <w:r w:rsidR="009D3159" w:rsidRPr="00F71E35">
        <w:rPr>
          <w:bCs/>
        </w:rPr>
        <w:t xml:space="preserve">. </w:t>
      </w:r>
      <w:r w:rsidR="009D3159" w:rsidRPr="00F71E35">
        <w:t xml:space="preserve">Подписывая настоящий договор своей </w:t>
      </w:r>
      <w:r w:rsidR="009D3159" w:rsidRPr="00F71E35">
        <w:rPr>
          <w:bCs/>
        </w:rPr>
        <w:t>электронной подписью,</w:t>
      </w:r>
      <w:r w:rsidR="009D3159" w:rsidRPr="00F71E35">
        <w:t xml:space="preserve"> </w:t>
      </w:r>
      <w:r w:rsidRPr="00F71E35">
        <w:t xml:space="preserve">Стороны </w:t>
      </w:r>
      <w:r w:rsidR="009D3159" w:rsidRPr="00F71E35">
        <w:t>подтвержда</w:t>
      </w:r>
      <w:r w:rsidRPr="00F71E35">
        <w:t>ю</w:t>
      </w:r>
      <w:r w:rsidR="009D3159" w:rsidRPr="00F71E35">
        <w:t xml:space="preserve">т согласие с его условиями, а также то, что </w:t>
      </w:r>
      <w:bookmarkStart w:id="2" w:name="sub_42802"/>
      <w:r w:rsidR="009D3159" w:rsidRPr="00F71E35">
        <w:t xml:space="preserve">настоящий </w:t>
      </w:r>
      <w:bookmarkEnd w:id="2"/>
      <w:r w:rsidR="009D3159" w:rsidRPr="00F71E35">
        <w:t xml:space="preserve">договор не противоречит законодательству Российской Федерации, не лишает </w:t>
      </w:r>
      <w:r w:rsidRPr="00F71E35">
        <w:t>Стороны</w:t>
      </w:r>
      <w:r w:rsidR="009D3159" w:rsidRPr="00F71E35">
        <w:t xml:space="preserve"> прав, обычно предоставляемых по договорам такого вида, не исключает и не ограничивает ответственность </w:t>
      </w:r>
      <w:r w:rsidRPr="00F71E35">
        <w:t>Сторон</w:t>
      </w:r>
      <w:r w:rsidR="009D3159" w:rsidRPr="00F71E35">
        <w:t xml:space="preserve"> за нарушение обязательств, не содержит любых других явно обременительных </w:t>
      </w:r>
      <w:r w:rsidRPr="00F71E35">
        <w:t>торгов условий</w:t>
      </w:r>
      <w:r w:rsidR="009D3159" w:rsidRPr="00F71E35">
        <w:t>.</w:t>
      </w:r>
    </w:p>
    <w:p w:rsidR="0046716B" w:rsidRPr="00F71E35" w:rsidRDefault="0046716B" w:rsidP="00F71E35">
      <w:pPr>
        <w:tabs>
          <w:tab w:val="left" w:pos="1276"/>
        </w:tabs>
        <w:ind w:firstLine="720"/>
        <w:jc w:val="both"/>
      </w:pPr>
    </w:p>
    <w:p w:rsidR="0046716B" w:rsidRPr="00F71E35" w:rsidRDefault="0046716B" w:rsidP="00F71E35">
      <w:pPr>
        <w:numPr>
          <w:ilvl w:val="0"/>
          <w:numId w:val="5"/>
        </w:numPr>
        <w:tabs>
          <w:tab w:val="left" w:pos="426"/>
          <w:tab w:val="left" w:pos="2268"/>
          <w:tab w:val="left" w:pos="2410"/>
          <w:tab w:val="left" w:pos="2835"/>
          <w:tab w:val="left" w:pos="3119"/>
        </w:tabs>
        <w:ind w:left="0" w:firstLine="0"/>
        <w:jc w:val="center"/>
      </w:pPr>
      <w:r w:rsidRPr="00F71E35">
        <w:lastRenderedPageBreak/>
        <w:t>ПОРЯДОК ВОЗВРАТА ЗАДАТКА</w:t>
      </w:r>
    </w:p>
    <w:p w:rsidR="0046716B" w:rsidRDefault="0046716B" w:rsidP="00F71E35">
      <w:pPr>
        <w:tabs>
          <w:tab w:val="left" w:pos="1276"/>
          <w:tab w:val="left" w:pos="2977"/>
          <w:tab w:val="left" w:pos="3119"/>
        </w:tabs>
        <w:ind w:firstLine="720"/>
        <w:jc w:val="both"/>
      </w:pPr>
    </w:p>
    <w:p w:rsidR="009E2F3F" w:rsidRDefault="009E2F3F" w:rsidP="009E2F3F">
      <w:pPr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Суммы внесенных заявителями задатков возвращаются организатором торгов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9E2F3F" w:rsidRDefault="009E2F3F" w:rsidP="009E2F3F">
      <w:pPr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При заключении договора купли-продажи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9E2F3F" w:rsidRDefault="009E2F3F" w:rsidP="009E2F3F">
      <w:pPr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В случае признания торгов несостоявшимися, суммы внесенных задатков возвращаются в течение пяти рабочих дней с даты принятия решения об объявлении торгов несостоявшимися.</w:t>
      </w:r>
    </w:p>
    <w:p w:rsidR="009E2F3F" w:rsidRDefault="009E2F3F" w:rsidP="009E2F3F">
      <w:pPr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Внесенный задаток не возвращается победителю торгов в случае, если он:</w:t>
      </w:r>
    </w:p>
    <w:p w:rsidR="009E2F3F" w:rsidRDefault="009E2F3F" w:rsidP="009E2F3F">
      <w:pPr>
        <w:tabs>
          <w:tab w:val="left" w:pos="1276"/>
        </w:tabs>
        <w:ind w:left="709"/>
        <w:jc w:val="both"/>
      </w:pPr>
      <w:r>
        <w:t>а) уклонится от заключения в установленный срок договора купли-продажи;</w:t>
      </w:r>
    </w:p>
    <w:p w:rsidR="009E2F3F" w:rsidRDefault="009E2F3F" w:rsidP="009E2F3F">
      <w:pPr>
        <w:tabs>
          <w:tab w:val="left" w:pos="1276"/>
        </w:tabs>
        <w:ind w:left="709"/>
        <w:jc w:val="both"/>
      </w:pPr>
      <w:r>
        <w:t>б) не оплатит продаваемое на торгах Имущество должника в срок, установленный заключенным договором купли-продажи.</w:t>
      </w:r>
    </w:p>
    <w:p w:rsidR="009E2F3F" w:rsidRDefault="009E2F3F" w:rsidP="009E2F3F">
      <w:pPr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Удержанная сумма задатка включается в состав конкурсной массы должника за вычетом расходов Организатора торгов на их проведение.</w:t>
      </w:r>
    </w:p>
    <w:p w:rsidR="009E2F3F" w:rsidRDefault="009E2F3F" w:rsidP="009E2F3F">
      <w:pPr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При проведении повторных или иных следующих торгов допускается зачет ранее внесенных задатков в счет задатков, подлежащих внесению на повторных или иных следующих торгах. Такой зачет производится по заявлению претендента, фактически внесшего задаток. В этом случае задаток по результатам первых торгов не возвращается.</w:t>
      </w:r>
    </w:p>
    <w:p w:rsidR="00826824" w:rsidRPr="00882B3D" w:rsidRDefault="00826824" w:rsidP="00882B3D">
      <w:pPr>
        <w:widowControl/>
        <w:suppressAutoHyphens w:val="0"/>
        <w:autoSpaceDE/>
        <w:ind w:firstLine="709"/>
        <w:jc w:val="both"/>
        <w:rPr>
          <w:lang w:eastAsia="ru-RU" w:bidi="ar-SA"/>
        </w:rPr>
      </w:pPr>
      <w:bookmarkStart w:id="3" w:name="sub_36"/>
      <w:r w:rsidRPr="00882B3D">
        <w:rPr>
          <w:lang w:eastAsia="ru-RU" w:bidi="ar-SA"/>
        </w:rPr>
        <w:t>3.</w:t>
      </w:r>
      <w:r w:rsidR="009E2F3F">
        <w:rPr>
          <w:lang w:eastAsia="ru-RU" w:bidi="ar-SA"/>
        </w:rPr>
        <w:t>7</w:t>
      </w:r>
      <w:r w:rsidRPr="00882B3D">
        <w:rPr>
          <w:lang w:eastAsia="ru-RU" w:bidi="ar-SA"/>
        </w:rPr>
        <w:t>. В случае отмены торгов (лота) Организатор торгов обязуется возвратить поступившую на его счет сумму задатка в течение 5 рабочих дней с даты отмены торгов (лота),</w:t>
      </w:r>
      <w:r w:rsidR="00882B3D" w:rsidRPr="00882B3D">
        <w:rPr>
          <w:lang w:eastAsia="ru-RU" w:bidi="ar-SA"/>
        </w:rPr>
        <w:t xml:space="preserve"> </w:t>
      </w:r>
      <w:r w:rsidRPr="00882B3D">
        <w:rPr>
          <w:lang w:eastAsia="ru-RU" w:bidi="ar-SA"/>
        </w:rPr>
        <w:t xml:space="preserve">либо </w:t>
      </w:r>
    </w:p>
    <w:bookmarkEnd w:id="3"/>
    <w:p w:rsidR="0046716B" w:rsidRPr="00F71E35" w:rsidRDefault="009D3159" w:rsidP="00F71E35">
      <w:pPr>
        <w:numPr>
          <w:ilvl w:val="0"/>
          <w:numId w:val="5"/>
        </w:numPr>
        <w:ind w:left="0"/>
        <w:jc w:val="center"/>
      </w:pPr>
      <w:r w:rsidRPr="00F71E35">
        <w:t>ИНЫЕ ПОЛОЖЕНИЯ</w:t>
      </w:r>
    </w:p>
    <w:p w:rsidR="0046716B" w:rsidRPr="00F71E35" w:rsidRDefault="0046716B" w:rsidP="00F71E35">
      <w:pPr>
        <w:jc w:val="center"/>
      </w:pPr>
    </w:p>
    <w:p w:rsidR="00821FE2" w:rsidRPr="00F71E35" w:rsidRDefault="00821FE2" w:rsidP="00F71E35">
      <w:pPr>
        <w:pStyle w:val="HTML"/>
        <w:numPr>
          <w:ilvl w:val="1"/>
          <w:numId w:val="5"/>
        </w:numPr>
        <w:tabs>
          <w:tab w:val="clear" w:pos="1832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E3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821FE2" w:rsidRPr="00F71E35" w:rsidRDefault="00821FE2" w:rsidP="00F71E35">
      <w:pPr>
        <w:pStyle w:val="HTML"/>
        <w:numPr>
          <w:ilvl w:val="1"/>
          <w:numId w:val="5"/>
        </w:numPr>
        <w:tabs>
          <w:tab w:val="clear" w:pos="1832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E35">
        <w:rPr>
          <w:rFonts w:ascii="Times New Roman" w:hAnsi="Times New Roman"/>
          <w:sz w:val="24"/>
          <w:szCs w:val="24"/>
        </w:rPr>
        <w:t xml:space="preserve">Взаимоотношения и ответственность сторон, не оговоренные в настоящем договоре, регулируются законодательством </w:t>
      </w:r>
      <w:r w:rsidR="003A75A9" w:rsidRPr="003A75A9">
        <w:rPr>
          <w:rFonts w:ascii="Times New Roman" w:hAnsi="Times New Roman"/>
          <w:sz w:val="24"/>
          <w:szCs w:val="24"/>
        </w:rPr>
        <w:t>Российской Федерации</w:t>
      </w:r>
      <w:r w:rsidRPr="00F71E35">
        <w:rPr>
          <w:rFonts w:ascii="Times New Roman" w:hAnsi="Times New Roman"/>
          <w:sz w:val="24"/>
          <w:szCs w:val="24"/>
        </w:rPr>
        <w:t>.</w:t>
      </w:r>
    </w:p>
    <w:p w:rsidR="00821FE2" w:rsidRPr="00F71E35" w:rsidRDefault="00821FE2" w:rsidP="00F71E35">
      <w:pPr>
        <w:pStyle w:val="HTML"/>
        <w:numPr>
          <w:ilvl w:val="1"/>
          <w:numId w:val="5"/>
        </w:numPr>
        <w:tabs>
          <w:tab w:val="clear" w:pos="1832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E35">
        <w:rPr>
          <w:rFonts w:ascii="Times New Roman" w:hAnsi="Times New Roman"/>
          <w:sz w:val="24"/>
          <w:szCs w:val="24"/>
        </w:rPr>
        <w:t>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в соответствии с законодательством Российской Федерации.</w:t>
      </w:r>
      <w:r w:rsidRPr="00F71E35">
        <w:rPr>
          <w:rFonts w:ascii="Times New Roman" w:hAnsi="Times New Roman"/>
          <w:sz w:val="24"/>
          <w:szCs w:val="24"/>
        </w:rPr>
        <w:tab/>
      </w:r>
    </w:p>
    <w:p w:rsidR="00913B35" w:rsidRPr="00F71E35" w:rsidRDefault="00913B35" w:rsidP="00F71E35">
      <w:pPr>
        <w:jc w:val="both"/>
      </w:pPr>
    </w:p>
    <w:sectPr w:rsidR="00913B35" w:rsidRPr="00F71E35" w:rsidSect="004F709D">
      <w:pgSz w:w="11906" w:h="16838"/>
      <w:pgMar w:top="851" w:right="849" w:bottom="1276" w:left="12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21A7A"/>
    <w:multiLevelType w:val="hybridMultilevel"/>
    <w:tmpl w:val="5030D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1EF"/>
    <w:multiLevelType w:val="multilevel"/>
    <w:tmpl w:val="FFB2E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B9C2A58"/>
    <w:multiLevelType w:val="multilevel"/>
    <w:tmpl w:val="577E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44B62FB1"/>
    <w:multiLevelType w:val="multilevel"/>
    <w:tmpl w:val="E87E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460A3CCE"/>
    <w:multiLevelType w:val="multilevel"/>
    <w:tmpl w:val="E87E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7" w15:restartNumberingAfterBreak="0">
    <w:nsid w:val="5B9F3E54"/>
    <w:multiLevelType w:val="multilevel"/>
    <w:tmpl w:val="A6BC0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5AA6D08"/>
    <w:multiLevelType w:val="multilevel"/>
    <w:tmpl w:val="4516F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AA3ACF"/>
    <w:multiLevelType w:val="multilevel"/>
    <w:tmpl w:val="BA863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D87AF9"/>
    <w:multiLevelType w:val="hybridMultilevel"/>
    <w:tmpl w:val="829E7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77A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776C"/>
    <w:rsid w:val="0003799E"/>
    <w:rsid w:val="00041437"/>
    <w:rsid w:val="00043D5A"/>
    <w:rsid w:val="00095BBB"/>
    <w:rsid w:val="000F1119"/>
    <w:rsid w:val="000F503E"/>
    <w:rsid w:val="00136666"/>
    <w:rsid w:val="0014776C"/>
    <w:rsid w:val="0016627B"/>
    <w:rsid w:val="00182D0C"/>
    <w:rsid w:val="001A3626"/>
    <w:rsid w:val="001B6D34"/>
    <w:rsid w:val="001B77B6"/>
    <w:rsid w:val="001C7B59"/>
    <w:rsid w:val="001E0C91"/>
    <w:rsid w:val="001E7461"/>
    <w:rsid w:val="002101B7"/>
    <w:rsid w:val="00233A69"/>
    <w:rsid w:val="00267433"/>
    <w:rsid w:val="0028064C"/>
    <w:rsid w:val="0028311F"/>
    <w:rsid w:val="00287363"/>
    <w:rsid w:val="002B4E6A"/>
    <w:rsid w:val="002E313D"/>
    <w:rsid w:val="00316C48"/>
    <w:rsid w:val="00336188"/>
    <w:rsid w:val="003A75A9"/>
    <w:rsid w:val="00400B21"/>
    <w:rsid w:val="00426580"/>
    <w:rsid w:val="004427A2"/>
    <w:rsid w:val="0046716B"/>
    <w:rsid w:val="00470CF0"/>
    <w:rsid w:val="004B0F9A"/>
    <w:rsid w:val="004B49B2"/>
    <w:rsid w:val="004B6FB0"/>
    <w:rsid w:val="004C3EDE"/>
    <w:rsid w:val="004E5F45"/>
    <w:rsid w:val="004F709D"/>
    <w:rsid w:val="00516530"/>
    <w:rsid w:val="00535835"/>
    <w:rsid w:val="005402AC"/>
    <w:rsid w:val="005730C3"/>
    <w:rsid w:val="00582C5F"/>
    <w:rsid w:val="00593722"/>
    <w:rsid w:val="005C1139"/>
    <w:rsid w:val="005C3E22"/>
    <w:rsid w:val="005E0C8D"/>
    <w:rsid w:val="00600358"/>
    <w:rsid w:val="00617A87"/>
    <w:rsid w:val="0062112A"/>
    <w:rsid w:val="00684D7D"/>
    <w:rsid w:val="006A1B01"/>
    <w:rsid w:val="006B0C3D"/>
    <w:rsid w:val="006B3A08"/>
    <w:rsid w:val="006F5044"/>
    <w:rsid w:val="007168C5"/>
    <w:rsid w:val="0072286C"/>
    <w:rsid w:val="00722966"/>
    <w:rsid w:val="00767B87"/>
    <w:rsid w:val="00794153"/>
    <w:rsid w:val="007B199D"/>
    <w:rsid w:val="007C2507"/>
    <w:rsid w:val="007D5F58"/>
    <w:rsid w:val="007E02D1"/>
    <w:rsid w:val="007E0DB1"/>
    <w:rsid w:val="007E6779"/>
    <w:rsid w:val="00800C5C"/>
    <w:rsid w:val="0080509B"/>
    <w:rsid w:val="0081191D"/>
    <w:rsid w:val="00821FE2"/>
    <w:rsid w:val="00826824"/>
    <w:rsid w:val="008301A7"/>
    <w:rsid w:val="00832906"/>
    <w:rsid w:val="00865139"/>
    <w:rsid w:val="00882B3D"/>
    <w:rsid w:val="00887369"/>
    <w:rsid w:val="008A764C"/>
    <w:rsid w:val="008B7662"/>
    <w:rsid w:val="008C73C7"/>
    <w:rsid w:val="008D0658"/>
    <w:rsid w:val="008D230E"/>
    <w:rsid w:val="008E159C"/>
    <w:rsid w:val="00913B35"/>
    <w:rsid w:val="00932C90"/>
    <w:rsid w:val="00941177"/>
    <w:rsid w:val="009468E6"/>
    <w:rsid w:val="00985C7B"/>
    <w:rsid w:val="009D3159"/>
    <w:rsid w:val="009E2F3F"/>
    <w:rsid w:val="00A732D8"/>
    <w:rsid w:val="00A92872"/>
    <w:rsid w:val="00AA7C92"/>
    <w:rsid w:val="00AE7B3F"/>
    <w:rsid w:val="00B15F90"/>
    <w:rsid w:val="00B2224A"/>
    <w:rsid w:val="00B405AD"/>
    <w:rsid w:val="00B46214"/>
    <w:rsid w:val="00B71ECE"/>
    <w:rsid w:val="00BB508A"/>
    <w:rsid w:val="00BC6F71"/>
    <w:rsid w:val="00BD6E5A"/>
    <w:rsid w:val="00C261D3"/>
    <w:rsid w:val="00C44352"/>
    <w:rsid w:val="00C70739"/>
    <w:rsid w:val="00C73C2E"/>
    <w:rsid w:val="00C877C9"/>
    <w:rsid w:val="00CB5331"/>
    <w:rsid w:val="00CB5758"/>
    <w:rsid w:val="00CD1CA2"/>
    <w:rsid w:val="00CF096D"/>
    <w:rsid w:val="00D2749C"/>
    <w:rsid w:val="00D4692D"/>
    <w:rsid w:val="00D57E2F"/>
    <w:rsid w:val="00D84C93"/>
    <w:rsid w:val="00DA359C"/>
    <w:rsid w:val="00DA6995"/>
    <w:rsid w:val="00DB0301"/>
    <w:rsid w:val="00E663B5"/>
    <w:rsid w:val="00E75736"/>
    <w:rsid w:val="00E873C0"/>
    <w:rsid w:val="00EB69A0"/>
    <w:rsid w:val="00EC54DD"/>
    <w:rsid w:val="00EE5794"/>
    <w:rsid w:val="00EE5B4B"/>
    <w:rsid w:val="00F02975"/>
    <w:rsid w:val="00F03378"/>
    <w:rsid w:val="00F271C3"/>
    <w:rsid w:val="00F47ECB"/>
    <w:rsid w:val="00F71E35"/>
    <w:rsid w:val="00F92FF3"/>
    <w:rsid w:val="00FB7D65"/>
    <w:rsid w:val="00FD73C3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9A0123"/>
  <w15:docId w15:val="{D023D145-CDD7-4362-8111-93CA9A66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numPr>
        <w:numId w:val="1"/>
      </w:numPr>
      <w:spacing w:before="440" w:after="60"/>
      <w:outlineLvl w:val="0"/>
    </w:pPr>
    <w:rPr>
      <w:rFonts w:ascii="Liberation Sans" w:eastAsia="Liberation Sans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440" w:after="60"/>
      <w:outlineLvl w:val="1"/>
    </w:pPr>
    <w:rPr>
      <w:rFonts w:ascii="Liberation Sans" w:eastAsia="Liberation Sans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440" w:after="60"/>
      <w:outlineLvl w:val="2"/>
    </w:pPr>
    <w:rPr>
      <w:rFonts w:ascii="Liberation Sans" w:eastAsia="Liberation Sans" w:hAnsi="Liberation Sans" w:cs="Liberation Sans"/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440" w:after="60"/>
      <w:outlineLvl w:val="3"/>
    </w:pPr>
    <w:rPr>
      <w:rFonts w:ascii="Liberation Sans" w:eastAsia="Liberation Sans" w:hAnsi="Liberation Sans" w:cs="Liberation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Символы концевой сноски"/>
  </w:style>
  <w:style w:type="character" w:customStyle="1" w:styleId="10">
    <w:name w:val="Обычный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концевой сноски1"/>
    <w:rPr>
      <w:rFonts w:ascii="Times New Roman" w:eastAsia="Times New Roman" w:hAnsi="Times New Roman" w:cs="Times New Roman"/>
      <w:sz w:val="20"/>
      <w:szCs w:val="24"/>
    </w:rPr>
  </w:style>
  <w:style w:type="character" w:customStyle="1" w:styleId="Reference">
    <w:name w:val="Reference"/>
    <w:rPr>
      <w:sz w:val="20"/>
      <w:szCs w:val="20"/>
    </w:rPr>
  </w:style>
  <w:style w:type="character" w:customStyle="1" w:styleId="12">
    <w:name w:val="Текст сноски1"/>
    <w:rPr>
      <w:rFonts w:ascii="Times New Roman" w:eastAsia="Times New Roman" w:hAnsi="Times New Roman" w:cs="Times New Roman"/>
      <w:sz w:val="20"/>
      <w:szCs w:val="20"/>
    </w:rPr>
  </w:style>
  <w:style w:type="character" w:customStyle="1" w:styleId="WW-Reference">
    <w:name w:val="WW-Reference"/>
    <w:rPr>
      <w:sz w:val="20"/>
      <w:szCs w:val="20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0">
    <w:name w:val="Основной шрифт абзаца2"/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tents1">
    <w:name w:val="Contents 1"/>
    <w:basedOn w:val="a"/>
    <w:next w:val="a"/>
    <w:pPr>
      <w:ind w:left="720" w:hanging="431"/>
    </w:pPr>
    <w:rPr>
      <w:sz w:val="20"/>
    </w:rPr>
  </w:style>
  <w:style w:type="paragraph" w:customStyle="1" w:styleId="Contents2">
    <w:name w:val="Contents 2"/>
    <w:basedOn w:val="a"/>
    <w:next w:val="a"/>
    <w:pPr>
      <w:ind w:left="1440" w:hanging="431"/>
    </w:pPr>
    <w:rPr>
      <w:sz w:val="20"/>
    </w:rPr>
  </w:style>
  <w:style w:type="paragraph" w:customStyle="1" w:styleId="Contents3">
    <w:name w:val="Contents 3"/>
    <w:basedOn w:val="a"/>
    <w:next w:val="a"/>
    <w:pPr>
      <w:ind w:left="2160" w:hanging="431"/>
    </w:pPr>
    <w:rPr>
      <w:sz w:val="20"/>
    </w:rPr>
  </w:style>
  <w:style w:type="paragraph" w:customStyle="1" w:styleId="Contents4">
    <w:name w:val="Contents 4"/>
    <w:basedOn w:val="a"/>
    <w:next w:val="a"/>
    <w:pPr>
      <w:ind w:left="2880" w:hanging="431"/>
    </w:pPr>
    <w:rPr>
      <w:sz w:val="20"/>
    </w:rPr>
  </w:style>
  <w:style w:type="paragraph" w:customStyle="1" w:styleId="NumberedHeading1">
    <w:name w:val="Numbered Heading 1"/>
    <w:basedOn w:val="1"/>
    <w:next w:val="a"/>
    <w:pPr>
      <w:numPr>
        <w:numId w:val="0"/>
      </w:numPr>
      <w:tabs>
        <w:tab w:val="left" w:pos="431"/>
      </w:tabs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4"/>
    </w:rPr>
  </w:style>
  <w:style w:type="paragraph" w:customStyle="1" w:styleId="NumberedHeading2">
    <w:name w:val="Numbered Heading 2"/>
    <w:basedOn w:val="2"/>
    <w:next w:val="a"/>
    <w:pPr>
      <w:numPr>
        <w:numId w:val="0"/>
      </w:numPr>
      <w:tabs>
        <w:tab w:val="left" w:pos="431"/>
      </w:tabs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4"/>
    </w:rPr>
  </w:style>
  <w:style w:type="paragraph" w:customStyle="1" w:styleId="SquareList">
    <w:name w:val="Square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LowerRomanList">
    <w:name w:val="Lower Roman List"/>
    <w:basedOn w:val="a"/>
    <w:next w:val="a"/>
    <w:pPr>
      <w:ind w:left="720" w:hanging="431"/>
    </w:pPr>
    <w:rPr>
      <w:sz w:val="20"/>
    </w:rPr>
  </w:style>
  <w:style w:type="paragraph" w:customStyle="1" w:styleId="DiamondList">
    <w:name w:val="Diamond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NumberedList">
    <w:name w:val="Numbered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TriangleList">
    <w:name w:val="Triangle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NumberedHeading3">
    <w:name w:val="Numbered Heading 3"/>
    <w:basedOn w:val="3"/>
    <w:next w:val="a"/>
    <w:pPr>
      <w:numPr>
        <w:numId w:val="0"/>
      </w:numPr>
      <w:tabs>
        <w:tab w:val="left" w:pos="431"/>
      </w:tabs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</w:rPr>
  </w:style>
  <w:style w:type="paragraph" w:customStyle="1" w:styleId="DashedList">
    <w:name w:val="Dashed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UpperRomanList">
    <w:name w:val="Upper Roman List"/>
    <w:basedOn w:val="NumberedList"/>
    <w:next w:val="a"/>
  </w:style>
  <w:style w:type="paragraph" w:customStyle="1" w:styleId="HeartList">
    <w:name w:val="Heart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ContentsHeader">
    <w:name w:val="Contents Header"/>
    <w:basedOn w:val="a"/>
    <w:next w:val="a"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UpperCaseList">
    <w:name w:val="Upper Case List"/>
    <w:basedOn w:val="NumberedList"/>
    <w:next w:val="a"/>
  </w:style>
  <w:style w:type="paragraph" w:customStyle="1" w:styleId="BulletList">
    <w:name w:val="Bullet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HandList">
    <w:name w:val="Hand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TickList">
    <w:name w:val="Tick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LowerCaseList">
    <w:name w:val="Lower Case List"/>
    <w:basedOn w:val="NumberedList"/>
    <w:next w:val="a"/>
  </w:style>
  <w:style w:type="paragraph" w:customStyle="1" w:styleId="16">
    <w:name w:val="Цитата1"/>
    <w:basedOn w:val="a"/>
    <w:next w:val="a"/>
    <w:pPr>
      <w:spacing w:after="120"/>
      <w:ind w:left="1440" w:right="1440"/>
    </w:pPr>
    <w:rPr>
      <w:sz w:val="20"/>
    </w:rPr>
  </w:style>
  <w:style w:type="paragraph" w:customStyle="1" w:styleId="SectionHeading">
    <w:name w:val="Section Heading"/>
    <w:basedOn w:val="NumberedHeading1"/>
    <w:next w:val="a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BoxList">
    <w:name w:val="Box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StarList">
    <w:name w:val="Star List"/>
    <w:next w:val="a"/>
    <w:pPr>
      <w:widowControl w:val="0"/>
      <w:suppressAutoHyphens/>
      <w:autoSpaceDE w:val="0"/>
      <w:ind w:left="720" w:hanging="431"/>
    </w:pPr>
    <w:rPr>
      <w:szCs w:val="24"/>
      <w:lang w:eastAsia="hi-IN" w:bidi="hi-IN"/>
    </w:rPr>
  </w:style>
  <w:style w:type="paragraph" w:customStyle="1" w:styleId="17">
    <w:name w:val="Текст1"/>
    <w:basedOn w:val="a"/>
    <w:next w:val="a"/>
    <w:rPr>
      <w:rFonts w:ascii="Courier New" w:eastAsia="Courier New" w:hAnsi="Courier New" w:cs="Courier New"/>
      <w:sz w:val="20"/>
    </w:rPr>
  </w:style>
  <w:style w:type="paragraph" w:customStyle="1" w:styleId="ChapterHeading">
    <w:name w:val="Chapter Heading"/>
    <w:basedOn w:val="NumberedHeading1"/>
    <w:next w:val="a"/>
    <w:pPr>
      <w:tabs>
        <w:tab w:val="clear" w:pos="431"/>
        <w:tab w:val="left" w:pos="1584"/>
      </w:tabs>
    </w:pPr>
  </w:style>
  <w:style w:type="paragraph" w:customStyle="1" w:styleId="ConsPlusNormal">
    <w:name w:val="ConsPlusNormal"/>
    <w:next w:val="a"/>
    <w:rsid w:val="007229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styleId="a9">
    <w:name w:val="List Paragraph"/>
    <w:basedOn w:val="a"/>
    <w:uiPriority w:val="34"/>
    <w:qFormat/>
    <w:rsid w:val="00DA6995"/>
    <w:pPr>
      <w:ind w:left="708"/>
    </w:pPr>
    <w:rPr>
      <w:rFonts w:cs="Mangal"/>
      <w:szCs w:val="21"/>
    </w:rPr>
  </w:style>
  <w:style w:type="paragraph" w:styleId="aa">
    <w:name w:val="No Spacing"/>
    <w:qFormat/>
    <w:rsid w:val="007D5F5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1B77B6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1B77B6"/>
    <w:rPr>
      <w:rFonts w:ascii="Segoe UI" w:hAnsi="Segoe UI" w:cs="Mangal"/>
      <w:sz w:val="18"/>
      <w:szCs w:val="16"/>
      <w:lang w:eastAsia="hi-IN" w:bidi="hi-IN"/>
    </w:rPr>
  </w:style>
  <w:style w:type="character" w:customStyle="1" w:styleId="paragraph">
    <w:name w:val="paragraph"/>
    <w:basedOn w:val="a0"/>
    <w:rsid w:val="007B199D"/>
  </w:style>
  <w:style w:type="paragraph" w:styleId="HTML">
    <w:name w:val="HTML Preformatted"/>
    <w:basedOn w:val="a"/>
    <w:link w:val="HTML0"/>
    <w:rsid w:val="00821F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  <w:sz w:val="20"/>
      <w:szCs w:val="20"/>
      <w:lang w:eastAsia="ar-SA" w:bidi="ar-SA"/>
    </w:rPr>
  </w:style>
  <w:style w:type="character" w:customStyle="1" w:styleId="HTML0">
    <w:name w:val="Стандартный HTML Знак"/>
    <w:link w:val="HTML"/>
    <w:rsid w:val="00821FE2"/>
    <w:rPr>
      <w:rFonts w:ascii="Courier New" w:hAnsi="Courier New" w:cs="Courier New"/>
      <w:lang w:eastAsia="ar-SA"/>
    </w:rPr>
  </w:style>
  <w:style w:type="character" w:customStyle="1" w:styleId="ad">
    <w:name w:val="Цветовое выделение"/>
    <w:uiPriority w:val="99"/>
    <w:rsid w:val="001A3626"/>
    <w:rPr>
      <w:b/>
      <w:color w:val="26282F"/>
    </w:rPr>
  </w:style>
  <w:style w:type="character" w:customStyle="1" w:styleId="ae">
    <w:name w:val="Гипертекстовая ссылка"/>
    <w:uiPriority w:val="99"/>
    <w:rsid w:val="001A3626"/>
    <w:rPr>
      <w:rFonts w:cs="Times New Roman"/>
      <w:b w:val="0"/>
      <w:color w:val="106BBE"/>
    </w:rPr>
  </w:style>
  <w:style w:type="character" w:styleId="af">
    <w:name w:val="annotation reference"/>
    <w:uiPriority w:val="99"/>
    <w:semiHidden/>
    <w:unhideWhenUsed/>
    <w:rsid w:val="00E873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73C0"/>
    <w:rPr>
      <w:rFonts w:cs="Mangal"/>
      <w:sz w:val="20"/>
      <w:szCs w:val="18"/>
    </w:rPr>
  </w:style>
  <w:style w:type="character" w:customStyle="1" w:styleId="af1">
    <w:name w:val="Текст примечания Знак"/>
    <w:link w:val="af0"/>
    <w:uiPriority w:val="99"/>
    <w:semiHidden/>
    <w:rsid w:val="00E873C0"/>
    <w:rPr>
      <w:rFonts w:cs="Mangal"/>
      <w:szCs w:val="18"/>
      <w:lang w:eastAsia="hi-IN" w:bidi="hi-I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73C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873C0"/>
    <w:rPr>
      <w:rFonts w:cs="Mangal"/>
      <w:b/>
      <w:bCs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договора" ma:contentTypeID="0x010100C16DF45E5C84F64392EB9E86E1682686" ma:contentTypeVersion="66" ma:contentTypeDescription="Создание нового документа договора" ma:contentTypeScope="" ma:versionID="45f0ea0aff456a2cb549e14e8062bc4e">
  <xsd:schema xmlns:xsd="http://www.w3.org/2001/XMLSchema" xmlns:xs="http://www.w3.org/2001/XMLSchema" xmlns:p="http://schemas.microsoft.com/office/2006/metadata/properties" xmlns:ns1="http://schemas.microsoft.com/sharepoint/v3" xmlns:ns3="14951835-fe33-4752-9695-a66283f92355" targetNamespace="http://schemas.microsoft.com/office/2006/metadata/properties" ma:root="true" ma:fieldsID="1b5d168230755cd183f0de70ad0aed62" ns1:_="" ns3:_="">
    <xsd:import namespace="http://schemas.microsoft.com/sharepoint/v3"/>
    <xsd:import namespace="14951835-fe33-4752-9695-a66283f92355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" nillable="true" ma:displayName="Описание" ma:description="Укажите пояснения от исполнителя при создании договора" ma:hidden="true" ma:internalName="DocumentSetDescrip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1835-fe33-4752-9695-a66283f92355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4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Тип контента"/>
        <xsd:element ref="dc:title" minOccurs="0" maxOccurs="1" ma:index="0" ma:displayName="Название набора документ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A315-376A-4B3A-BBAE-39F9CA9EC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CE900-FC65-4DA1-816A-211CD30413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A39277-E6DA-4060-BEBB-03D4E615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951835-fe33-4752-9695-a66283f92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FE159-E1D0-4753-B7BF-4DBBAFE08B3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D7BCF8E-352B-45C3-8E72-980FE9B977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EA0F159-2C0A-4A73-86B4-0E589AE9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Утвердите Договор задатка № 3108-2016-1 Сбербанк-АСТ</vt:lpstr>
    </vt:vector>
  </TitlesOfParts>
  <Company>Microsoft</Company>
  <LinksUpToDate>false</LinksUpToDate>
  <CharactersWithSpaces>5405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Утвердите Договор задатка № 3108-2016-1 Сбербанк-АСТ</dc:title>
  <dc:creator>Admin</dc:creator>
  <cp:lastModifiedBy>Юрий Рожков</cp:lastModifiedBy>
  <cp:revision>4</cp:revision>
  <cp:lastPrinted>2013-12-23T12:10:00Z</cp:lastPrinted>
  <dcterms:created xsi:type="dcterms:W3CDTF">2018-05-08T10:06:00Z</dcterms:created>
  <dcterms:modified xsi:type="dcterms:W3CDTF">2018-05-08T10:18:00Z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рок действия0">
    <vt:lpwstr>2016-08-31T15:00:00Z</vt:lpwstr>
  </property>
  <property fmtid="{D5CDD505-2E9C-101B-9397-08002B2CF9AE}" pid="3" name="Дата передачи/отправки">
    <vt:lpwstr>2016-08-31T15:00:00Z</vt:lpwstr>
  </property>
  <property fmtid="{D5CDD505-2E9C-101B-9397-08002B2CF9AE}" pid="4" name="Срок действия">
    <vt:lpwstr>2016-08-31T15:00:00Z</vt:lpwstr>
  </property>
  <property fmtid="{D5CDD505-2E9C-101B-9397-08002B2CF9AE}" pid="5" name="_dlc_DocId">
    <vt:lpwstr>XDNJ7NDQPTVH-8-11653</vt:lpwstr>
  </property>
  <property fmtid="{D5CDD505-2E9C-101B-9397-08002B2CF9AE}" pid="6" name="_dlc_DocIdItemGuid">
    <vt:lpwstr>1b8defbd-2c51-4ccd-bfa2-2dee62b000b0</vt:lpwstr>
  </property>
  <property fmtid="{D5CDD505-2E9C-101B-9397-08002B2CF9AE}" pid="7" name="_dlc_DocIdUrl">
    <vt:lpwstr>http://portal.sberbank-ast.ru/administrative/_layouts/DocIdRedir.aspx?ID=XDNJ7NDQPTVH-8-11653, XDNJ7NDQPTVH-8-11653</vt:lpwstr>
  </property>
</Properties>
</file>