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0BED7254"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596BFA">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7F3DE49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D23C0E" w:rsidRPr="00D23C0E">
        <w:rPr>
          <w:rFonts w:ascii="Arial" w:hAnsi="Arial" w:cs="Arial"/>
          <w:b/>
          <w:sz w:val="20"/>
          <w:szCs w:val="20"/>
        </w:rPr>
        <w:t>Чепурная Любовь Фридриховна</w:t>
      </w:r>
      <w:r w:rsidR="00D23C0E">
        <w:rPr>
          <w:rFonts w:ascii="Arial" w:hAnsi="Arial" w:cs="Arial"/>
          <w:b/>
          <w:sz w:val="20"/>
          <w:szCs w:val="20"/>
        </w:rPr>
        <w:t xml:space="preserve"> </w:t>
      </w:r>
      <w:r w:rsidR="00D23C0E" w:rsidRPr="00D23C0E">
        <w:rPr>
          <w:rFonts w:ascii="Arial" w:hAnsi="Arial" w:cs="Arial"/>
          <w:sz w:val="20"/>
          <w:szCs w:val="20"/>
        </w:rPr>
        <w:t>(163000, г. Архангельск, ул. Попова, 26-51, ИНН 292600041654, СНИЛС 07697950440)</w:t>
      </w:r>
      <w:r w:rsidRPr="00324B1D">
        <w:rPr>
          <w:rFonts w:ascii="Arial" w:hAnsi="Arial" w:cs="Arial"/>
          <w:sz w:val="20"/>
          <w:szCs w:val="20"/>
        </w:rPr>
        <w:t>, именуем</w:t>
      </w:r>
      <w:r w:rsidR="00D23C0E">
        <w:rPr>
          <w:rFonts w:ascii="Arial" w:hAnsi="Arial" w:cs="Arial"/>
          <w:sz w:val="20"/>
          <w:szCs w:val="20"/>
        </w:rPr>
        <w:t>ая</w:t>
      </w:r>
      <w:r w:rsidRPr="00324B1D">
        <w:rPr>
          <w:rFonts w:ascii="Arial" w:hAnsi="Arial" w:cs="Arial"/>
          <w:sz w:val="20"/>
          <w:szCs w:val="20"/>
        </w:rPr>
        <w:t xml:space="preserve"> в дальнейшем «Организатор торгов», </w:t>
      </w:r>
      <w:r w:rsidR="00D23C0E" w:rsidRPr="00D23C0E">
        <w:rPr>
          <w:rFonts w:ascii="Arial" w:hAnsi="Arial" w:cs="Arial"/>
          <w:sz w:val="20"/>
          <w:szCs w:val="20"/>
        </w:rPr>
        <w:t xml:space="preserve">действующая на основании </w:t>
      </w:r>
      <w:r w:rsidR="00430DE3" w:rsidRPr="00430DE3">
        <w:rPr>
          <w:rFonts w:ascii="Arial" w:hAnsi="Arial" w:cs="Arial"/>
          <w:sz w:val="20"/>
          <w:szCs w:val="20"/>
        </w:rPr>
        <w:t>Решения Арбитражного суда Архангельской области по делу А05-10616/2016 от 28.04.2017 года</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6234DA8F"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430DE3" w:rsidRPr="00430DE3">
        <w:rPr>
          <w:rFonts w:ascii="Arial" w:hAnsi="Arial" w:cs="Arial"/>
          <w:sz w:val="18"/>
          <w:szCs w:val="18"/>
        </w:rPr>
        <w:t>ООО «Холмогорское ЖКХ» (ИНН 2923006598 , ОГРН: 1112903000781, место нахождения: 164530 Архангельская область, с. Холмогоры, ул. Октябрьская, д. 36)</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430DE3">
        <w:rPr>
          <w:rFonts w:ascii="Arial" w:hAnsi="Arial" w:cs="Arial"/>
          <w:sz w:val="20"/>
          <w:szCs w:val="20"/>
        </w:rPr>
        <w:t>____</w:t>
      </w:r>
      <w:r w:rsidR="008A007A" w:rsidRPr="00324B1D">
        <w:rPr>
          <w:rFonts w:ascii="Arial" w:hAnsi="Arial" w:cs="Arial"/>
          <w:sz w:val="20"/>
          <w:szCs w:val="20"/>
        </w:rPr>
        <w:t xml:space="preserve">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430DE3">
        <w:rPr>
          <w:rFonts w:ascii="Arial" w:hAnsi="Arial" w:cs="Arial"/>
          <w:sz w:val="20"/>
          <w:szCs w:val="20"/>
        </w:rPr>
        <w:t>2</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430DE3" w:rsidRPr="00430DE3">
        <w:rPr>
          <w:rFonts w:ascii="Arial" w:hAnsi="Arial" w:cs="Arial"/>
          <w:sz w:val="18"/>
          <w:szCs w:val="18"/>
          <w:lang w:eastAsia="zh-CN"/>
        </w:rPr>
        <w:t>ООО «Холмогорское ЖКХ», ИНН 2923006598 , КПП 292301001, р/с 40702810948130000025, Архангельский РФ АО «Россельхозбанк», к/с 30101810000000000772, БИК 041117772</w:t>
      </w:r>
      <w:r w:rsidR="00D23C0E" w:rsidRPr="006E1BCE">
        <w:rPr>
          <w:rFonts w:ascii="Arial" w:hAnsi="Arial" w:cs="Arial"/>
          <w:sz w:val="20"/>
          <w:szCs w:val="20"/>
        </w:rPr>
        <w:t xml:space="preserve"> </w:t>
      </w:r>
      <w:r w:rsidR="008A007A" w:rsidRPr="006E1BCE">
        <w:rPr>
          <w:rFonts w:ascii="Arial" w:hAnsi="Arial" w:cs="Arial"/>
          <w:sz w:val="20"/>
          <w:szCs w:val="20"/>
        </w:rPr>
        <w:t>(далее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непоступления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________</w:t>
      </w:r>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330DEF08" w14:textId="00E9DCC9" w:rsidR="00430DE3" w:rsidRDefault="00430DE3" w:rsidP="00DB68BD">
            <w:pPr>
              <w:pStyle w:val="2"/>
              <w:tabs>
                <w:tab w:val="left" w:pos="3885"/>
              </w:tabs>
              <w:jc w:val="left"/>
              <w:rPr>
                <w:rFonts w:ascii="Arial" w:hAnsi="Arial" w:cs="Arial"/>
                <w:b w:val="0"/>
                <w:sz w:val="20"/>
              </w:rPr>
            </w:pPr>
            <w:r>
              <w:rPr>
                <w:rFonts w:ascii="Arial" w:hAnsi="Arial" w:cs="Arial"/>
                <w:b w:val="0"/>
                <w:sz w:val="20"/>
              </w:rPr>
              <w:t>Конкурсный управляющий</w:t>
            </w:r>
            <w:bookmarkStart w:id="0" w:name="_GoBack"/>
            <w:bookmarkEnd w:id="0"/>
          </w:p>
          <w:p w14:paraId="1669BA9B" w14:textId="35CA7597" w:rsidR="00DB68BD" w:rsidRPr="00430DE3" w:rsidRDefault="00430DE3" w:rsidP="00DB68BD">
            <w:pPr>
              <w:pStyle w:val="2"/>
              <w:tabs>
                <w:tab w:val="left" w:pos="3885"/>
              </w:tabs>
              <w:jc w:val="left"/>
              <w:rPr>
                <w:rFonts w:ascii="Arial" w:hAnsi="Arial" w:cs="Arial"/>
                <w:b w:val="0"/>
                <w:sz w:val="20"/>
              </w:rPr>
            </w:pPr>
            <w:r w:rsidRPr="00430DE3">
              <w:rPr>
                <w:rFonts w:ascii="Arial" w:hAnsi="Arial" w:cs="Arial"/>
                <w:b w:val="0"/>
                <w:sz w:val="20"/>
              </w:rPr>
              <w:t>ООО «Холмогорское ЖКХ», ИНН 2923006598 , КПП 292301001, р/с 40702810948130000025, Архангельский РФ АО «Россельхозбанк», к/с 30101810000000000772, БИК 041117772</w:t>
            </w:r>
          </w:p>
          <w:p w14:paraId="39A134DB" w14:textId="07A8EBCF" w:rsidR="008A007A" w:rsidRPr="00324B1D" w:rsidRDefault="008A007A">
            <w:pPr>
              <w:pStyle w:val="2"/>
              <w:tabs>
                <w:tab w:val="left" w:pos="3885"/>
              </w:tabs>
              <w:jc w:val="left"/>
              <w:rPr>
                <w:rFonts w:ascii="Arial" w:hAnsi="Arial" w:cs="Arial"/>
                <w:sz w:val="20"/>
              </w:rPr>
            </w:pPr>
            <w:r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0C76A063"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D23C0E">
              <w:rPr>
                <w:rFonts w:ascii="Arial" w:hAnsi="Arial" w:cs="Arial"/>
                <w:sz w:val="20"/>
              </w:rPr>
              <w:t>______</w:t>
            </w:r>
            <w:r w:rsidR="00824351">
              <w:rPr>
                <w:rFonts w:ascii="Arial" w:hAnsi="Arial" w:cs="Arial"/>
                <w:sz w:val="20"/>
              </w:rPr>
              <w:t>_________</w:t>
            </w:r>
            <w:r w:rsidR="00D23C0E">
              <w:rPr>
                <w:rFonts w:ascii="Arial" w:hAnsi="Arial" w:cs="Arial"/>
                <w:sz w:val="20"/>
              </w:rPr>
              <w:t>_____ / Чепурная Л.Ф</w:t>
            </w:r>
            <w:r w:rsidR="00824351">
              <w:rPr>
                <w:rFonts w:ascii="Arial" w:hAnsi="Arial" w:cs="Arial"/>
                <w:sz w:val="20"/>
              </w:rPr>
              <w:t>.</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0C7503"/>
    <w:rsid w:val="000E29C8"/>
    <w:rsid w:val="00157546"/>
    <w:rsid w:val="001A0E51"/>
    <w:rsid w:val="00324B1D"/>
    <w:rsid w:val="00363EE8"/>
    <w:rsid w:val="003A412B"/>
    <w:rsid w:val="00430DE3"/>
    <w:rsid w:val="004D70BC"/>
    <w:rsid w:val="00596BFA"/>
    <w:rsid w:val="005A45C0"/>
    <w:rsid w:val="005D6632"/>
    <w:rsid w:val="006E1BCE"/>
    <w:rsid w:val="006F630C"/>
    <w:rsid w:val="00700B66"/>
    <w:rsid w:val="008136FD"/>
    <w:rsid w:val="00824351"/>
    <w:rsid w:val="0086341D"/>
    <w:rsid w:val="008A007A"/>
    <w:rsid w:val="008D22FD"/>
    <w:rsid w:val="00942946"/>
    <w:rsid w:val="00956778"/>
    <w:rsid w:val="00B529C4"/>
    <w:rsid w:val="00BD139B"/>
    <w:rsid w:val="00C75441"/>
    <w:rsid w:val="00D23C0E"/>
    <w:rsid w:val="00D71AEB"/>
    <w:rsid w:val="00D86911"/>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zgE3GpnfdKyJzqDmRw8XUcigWKis+H7jFg3Dsax4+io=</DigestValue>
    </Reference>
    <Reference Type="http://www.w3.org/2000/09/xmldsig#Object" URI="#idOfficeObject">
      <DigestMethod Algorithm="urn:ietf:params:xml:ns:cpxmlsec:algorithms:gostr3411"/>
      <DigestValue>1MdXx+DmizDX0FJex1xcwql7gALeeuG2aM5pfZuE3HU=</DigestValue>
    </Reference>
    <Reference Type="http://uri.etsi.org/01903#SignedProperties" URI="#idSignedProperties">
      <Transforms>
        <Transform Algorithm="http://www.w3.org/TR/2001/REC-xml-c14n-20010315"/>
      </Transforms>
      <DigestMethod Algorithm="urn:ietf:params:xml:ns:cpxmlsec:algorithms:gostr3411"/>
      <DigestValue>Wo0Z7DIQY1JyAuo3K/vgHHK4qAJumbRwEtu9rsLeCNI=</DigestValue>
    </Reference>
  </SignedInfo>
  <SignatureValue>5B7eh5lUO5SAcDWYm9crAXLSSc2Ui6pnS34CTn3+g4WaspYsT2B+aDcgurI4ZWLw
uOAD2QQdqlBGV4fFPW5SAA==</SignatureValue>
  <KeyInfo>
    <X509Data>
      <X509Certificate>MIIK+DCCCqegAwIBAgIRAOoZuenyQMKn6RHxAUWAVeAwCAYGKoUDAgIDMIIBhzEi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0J7QoCIwHhcNMTgxMjE3MTE0MDAwWhcNMTkxMjE3MTE1MDAwWjCCAV8xNTAzBgNV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2jEWfOfCuQEQZdSdz8PRfV64yFE=</DigestValue>
      </Reference>
      <Reference URI="/word/fontTable.xml?ContentType=application/vnd.openxmlformats-officedocument.wordprocessingml.fontTable+xml">
        <DigestMethod Algorithm="http://www.w3.org/2000/09/xmldsig#sha1"/>
        <DigestValue>hqhI1HDZ6xdBh+orCuo2iUUEuOI=</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ttUORDXXQ5tpyMPcRK3LWRkwiVs=</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2019-01-20T13:52:47Z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16.0.11126/16</OfficeVersion>
          <ApplicationVersion>16.0.11126</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2019-01-20T13:52:47Z</xd:SigningTime>
          <xd:SigningCertificate>
            <xd:Cert>
              <xd:CertDigest>
                <DigestMethod Algorithm="http://www.w3.org/2000/09/xmldsig#sha1"/>
                <DigestValue>UtuvueELIEnfSnq3EjHvKJcBuMc=</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311172929216045889198542453443508852192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2019-01-20T13:49:00Z</dcterms:created>
  <dcterms:modified xsi:type="dcterms:W3CDTF">2019-01-20T13:49:00Z</dcterms:modified>
</cp:coreProperties>
</file>