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6D6282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Макаров Валерий Викторович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ПАУ ЦФО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107564, г. Москва, а/я 40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044-667-309 71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500703855250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vvympel@yandex.ru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должнике: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ООО «ВМК»</w:t>
                </w:r>
              </w:p>
            </w:tc>
          </w:sdtContent>
        </w:sdt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г. Томск, ул. Владимира Высоцкого д. 33, 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 Томск, ул. Владимира Высоцкого д. 33, 1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6D6282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ИНН 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3443061008 </w:t>
                </w: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/КПП 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701701001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ab/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sz w:val="24"/>
                    <w:szCs w:val="24"/>
                  </w:rPr>
                  <w:t>1043400251806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0C1373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4A43C1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4A43C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Арбитражного суда Томской области по делу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№ </w:t>
                </w: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  <w:lang w:eastAsia="ru-RU"/>
                  </w:rPr>
                  <w:t>А67–3103/2017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A43C1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12.04.2018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23985952"/>
                    <w:placeholder>
                      <w:docPart w:val="B3DD71FE3470449D8AB07F3E3E511384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4A43C1" w:rsidRDefault="004A43C1" w:rsidP="00B646D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A43C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vvympel@yandex.ru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организаторе торгов: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Гривцова</w:t>
                </w:r>
                <w:proofErr w:type="spellEnd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, д. 5, </w:t>
                </w:r>
                <w:proofErr w:type="spellStart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Гривцова</w:t>
                </w:r>
                <w:proofErr w:type="spellEnd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, д. 5, </w:t>
                </w:r>
                <w:proofErr w:type="spellStart"/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CA0A3D" w:rsidP="00B64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4A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CA0A3D" w:rsidP="00B646D1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hyperlink r:id="rId7" w:history="1">
                  <w:r w:rsidR="000C1373" w:rsidRPr="004A43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kaupinen@auction-house.ru</w:t>
                  </w:r>
                </w:hyperlink>
                <w:r w:rsidR="000C1373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282630">
        <w:trPr>
          <w:trHeight w:hRule="exact" w:val="1354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30" w:rsidRPr="00CA0A3D" w:rsidRDefault="00810CBB" w:rsidP="00B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8263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   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Общества с ограниченной ответственностью «Волжская металлургическая компания» </w:t>
            </w:r>
            <w:r w:rsidR="004A43C1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(ОГРН: 1043400251806, ИНН: 3443061008, адрес места нахождения: г. Томск, ул. Владимира Высоцкого д. 33, 1)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Макаровым В.В., рег. № 14908, ИНН 500703855250, СНИЛС 044-667-309 71</w:t>
            </w:r>
            <w:r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400C3D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рег.№</w:t>
            </w:r>
            <w:r w:rsidR="004A43C1" w:rsidRPr="00CA0A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14908</w:t>
            </w:r>
            <w:r w:rsidR="00400C3D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адрес:</w:t>
            </w:r>
            <w:r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107564, г. Москва, а/я 40</w:t>
            </w:r>
            <w:r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 - КУ) </w:t>
            </w:r>
            <w:r w:rsidR="00400C3D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</w:t>
            </w:r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ПАУ ЦФО (ИНН 7705431418, ОГРН 1027700542209, адрес: 109316, г. Москва, г. Москва, </w:t>
            </w:r>
            <w:proofErr w:type="spellStart"/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Остаповский</w:t>
            </w:r>
            <w:proofErr w:type="spellEnd"/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</w:t>
            </w:r>
            <w:proofErr w:type="spellEnd"/>
            <w:r w:rsidR="004A43C1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-д, д. 3, стр. 6, оф. 201, 208, тел. (495) 287-48-60, 287-48-61)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действующим на </w:t>
            </w:r>
            <w:r w:rsidR="004A43C1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основании Решения от 12.04.2018г. Арбитражного суда Томской области по делу № № А67–3103/2017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</w:t>
            </w:r>
            <w:r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="00282630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</w:p>
          <w:p w:rsidR="00810CBB" w:rsidRPr="00CA0A3D" w:rsidRDefault="00282630" w:rsidP="00BE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</w:t>
            </w:r>
            <w:r w:rsidR="00810CBB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 подлежит следующее имущество (далее</w:t>
            </w:r>
            <w:r w:rsidR="003F3274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="00810CBB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Лот)</w:t>
            </w:r>
            <w:r w:rsidR="00F41053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расположенное по адресу: Волгоградская обл., г. Камышин, Промзона</w:t>
            </w:r>
            <w:r w:rsidR="00810CBB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6077AD" w:rsidRPr="00CA0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1)</w:t>
            </w:r>
            <w:r w:rsidR="00400C3D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административно-бытового корпуса ремонтно-литейного цеха, назначение: нежилое, литер: А., этажность: </w:t>
            </w:r>
            <w:proofErr w:type="gram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5,  общая</w:t>
            </w:r>
            <w:proofErr w:type="gram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 площадь: 5 836,1 кв. м., </w:t>
            </w:r>
            <w:proofErr w:type="spell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. № 34:36:000003:673; здание ремонтно-литейного цеха, назначение: нежилое, литер: Б. этажность:1, общая площадь: 20 266,9 кв. м., </w:t>
            </w:r>
            <w:proofErr w:type="spell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. № 34:36:000003:671; здание ГРП-1, назначение: нежилое, литер: </w:t>
            </w:r>
            <w:proofErr w:type="gram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Щ,  этажность</w:t>
            </w:r>
            <w:proofErr w:type="gram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: 1,  общая площадь: 41,6 кв. м., </w:t>
            </w:r>
            <w:proofErr w:type="spell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. № 34:36:000003:615; земельный участок, категория земель: земли населенных пунктов, разрешенное использование: под производственные цели, общей площадью: 52 622 кв. м., </w:t>
            </w:r>
            <w:proofErr w:type="spellStart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="00B1294A" w:rsidRPr="00CA0A3D">
              <w:rPr>
                <w:rFonts w:ascii="Times New Roman" w:hAnsi="Times New Roman" w:cs="Times New Roman"/>
                <w:sz w:val="18"/>
                <w:szCs w:val="18"/>
              </w:rPr>
              <w:t>. № 34:36:000003:91</w:t>
            </w:r>
            <w:r w:rsidR="006077AD" w:rsidRPr="00CA0A3D">
              <w:rPr>
                <w:rFonts w:ascii="Times New Roman" w:hAnsi="Times New Roman" w:cs="Times New Roman"/>
                <w:sz w:val="18"/>
                <w:szCs w:val="18"/>
              </w:rPr>
              <w:t>; 2) движимое имущество (оборудование</w:t>
            </w:r>
            <w:r w:rsidR="005513A1" w:rsidRPr="00CA0A3D">
              <w:rPr>
                <w:rFonts w:ascii="Times New Roman" w:hAnsi="Times New Roman" w:cs="Times New Roman"/>
                <w:sz w:val="18"/>
                <w:szCs w:val="18"/>
              </w:rPr>
              <w:t>, производственное</w:t>
            </w:r>
            <w:r w:rsidR="006077AD" w:rsidRPr="00CA0A3D">
              <w:rPr>
                <w:rFonts w:ascii="Times New Roman" w:hAnsi="Times New Roman" w:cs="Times New Roman"/>
                <w:sz w:val="18"/>
                <w:szCs w:val="18"/>
              </w:rPr>
              <w:t>, комплектующие</w:t>
            </w:r>
            <w:r w:rsidR="005513A1" w:rsidRPr="00CA0A3D">
              <w:rPr>
                <w:rFonts w:ascii="Times New Roman" w:hAnsi="Times New Roman" w:cs="Times New Roman"/>
                <w:sz w:val="18"/>
                <w:szCs w:val="18"/>
              </w:rPr>
              <w:t>, инструмент</w:t>
            </w:r>
            <w:r w:rsidR="006077AD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513A1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в кол-ве 209 ед. </w:t>
            </w:r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Подробный перечень реализуемого движимого имущества в составе Лота (детальные характеристики, состав, наименование, фактическое состояние имущества и сопутствующих ему документов) содержится в отчёте об оценке от 28.04.2018 №№3205/0418, опубликованном в Едином федеральном реестре сведений о банкротстве по адресу: </w:t>
            </w:r>
            <w:hyperlink r:id="rId8" w:history="1">
              <w:r w:rsidR="00B1294A" w:rsidRPr="00CA0A3D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http://fedresurs.ru/</w:t>
              </w:r>
            </w:hyperlink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15.07.2018, а также на сайте ЭП по адресу </w:t>
            </w:r>
            <w:hyperlink r:id="rId9" w:history="1">
              <w:r w:rsidR="00B1294A" w:rsidRPr="00CA0A3D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http://lot-online.ru</w:t>
              </w:r>
            </w:hyperlink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6077AD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3A1" w:rsidRPr="00CA0A3D">
              <w:rPr>
                <w:rFonts w:ascii="Times New Roman" w:hAnsi="Times New Roman" w:cs="Times New Roman"/>
                <w:sz w:val="18"/>
                <w:szCs w:val="18"/>
              </w:rPr>
              <w:t>Обременение Л</w:t>
            </w:r>
            <w:r w:rsidR="006077AD" w:rsidRPr="00CA0A3D">
              <w:rPr>
                <w:rFonts w:ascii="Times New Roman" w:hAnsi="Times New Roman" w:cs="Times New Roman"/>
                <w:sz w:val="18"/>
                <w:szCs w:val="18"/>
              </w:rPr>
              <w:t xml:space="preserve">ота: залог (ипотека) в пользу </w:t>
            </w:r>
            <w:r w:rsidR="006077AD"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Банк ГПБ (АО).</w:t>
            </w:r>
          </w:p>
          <w:p w:rsidR="00810CBB" w:rsidRPr="00CA0A3D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Начальная цена Лота </w:t>
            </w:r>
            <w:r w:rsidR="00BE4F8C"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CA0A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4F8C"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114 300 000</w:t>
            </w:r>
            <w:r w:rsidR="00B1294A"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 НДС не обл.</w:t>
            </w:r>
          </w:p>
          <w:p w:rsidR="00282630" w:rsidRPr="00CA0A3D" w:rsidRDefault="00282630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6E431F" w:rsidRPr="00CA0A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04.03</w:t>
            </w:r>
            <w:r w:rsidRPr="00CA0A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.2019 с 11 час. 00 мин.(</w:t>
            </w:r>
            <w:proofErr w:type="spellStart"/>
            <w:r w:rsidRPr="00CA0A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CA0A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Лота действует </w:t>
            </w:r>
            <w:r w:rsidR="006E431F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14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Лота, начиная со второго периода – </w:t>
            </w:r>
            <w:r w:rsidR="006E431F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% от начальной цены. Срок, по истечении которого последовательно снижается начальная цена принимается равным 1</w:t>
            </w:r>
            <w:r w:rsidR="006E431F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календарным дням, до достижения минимальной цены Лота в размере </w:t>
            </w:r>
            <w:r w:rsidR="006E431F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80 010 000руб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                 </w:t>
            </w:r>
          </w:p>
          <w:p w:rsidR="00810CBB" w:rsidRPr="00CA0A3D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Ознакомление с Лотом </w:t>
            </w:r>
            <w:r w:rsidR="003F3274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осуществляется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</w:t>
            </w:r>
            <w:r w:rsidR="00BE6F9E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местонахождению Лота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BE6F9E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документами </w:t>
            </w:r>
            <w:r w:rsidR="003F3274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по адресу ОТ   в рабочие дни с 9-00- до 17-00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3F3274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записи по тел.</w:t>
            </w:r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8 (952)2185177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или эл. почте: </w:t>
            </w:r>
            <w:r w:rsidR="003F3274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kaupinen@auction-house.ru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контакт. </w:t>
            </w:r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лицо Каупинен</w:t>
            </w:r>
            <w:r w:rsidR="003F3274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Юлия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  <w:t>.</w:t>
            </w:r>
          </w:p>
          <w:p w:rsidR="00282630" w:rsidRPr="00CA0A3D" w:rsidRDefault="00810CBB" w:rsidP="0028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Задаток - 20 % от начальной цены Лота в соответствующем периоде снижения и должен поступить на счет </w:t>
            </w:r>
            <w:r w:rsidR="00DB2D2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</w:t>
            </w:r>
            <w:proofErr w:type="gramStart"/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допускается.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513A1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</w:t>
            </w: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</w:t>
            </w:r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282630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282630" w:rsidRPr="00CA0A3D" w:rsidRDefault="00282630" w:rsidP="0028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Победителем признается участ</w:t>
            </w:r>
            <w:bookmarkStart w:id="0" w:name="_GoBack"/>
            <w:bookmarkEnd w:id="0"/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282630" w:rsidRPr="00CA0A3D" w:rsidRDefault="00282630" w:rsidP="0028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B646D1" w:rsidRPr="00B1294A" w:rsidRDefault="00282630" w:rsidP="00282630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</w:t>
            </w:r>
            <w:r w:rsidR="00810CBB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B1294A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 № 40702810300000010814 в Банк ГПБ (АО) г. Москва, к/с №30101810200000000823, БИК 044525823</w:t>
            </w:r>
            <w:r w:rsidR="00192FB2" w:rsidRPr="00CA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:rsidR="001B47F0" w:rsidRPr="002A2617" w:rsidRDefault="00B646D1" w:rsidP="001B47F0">
      <w:p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sz w:val="15"/>
          <w:szCs w:val="15"/>
        </w:rPr>
        <w:t xml:space="preserve">К заявке прилагаются подтверждающие документы (введение процедуры, </w:t>
      </w:r>
      <w:proofErr w:type="gramStart"/>
      <w:r w:rsidRPr="002A2617">
        <w:rPr>
          <w:rFonts w:ascii="Arial Narrow" w:hAnsi="Arial Narrow"/>
          <w:sz w:val="15"/>
          <w:szCs w:val="15"/>
        </w:rPr>
        <w:t>полномочия</w:t>
      </w:r>
      <w:proofErr w:type="gramEnd"/>
      <w:r w:rsidRPr="002A2617">
        <w:rPr>
          <w:rFonts w:ascii="Arial Narrow" w:hAnsi="Arial Narrow"/>
          <w:sz w:val="15"/>
          <w:szCs w:val="15"/>
        </w:rPr>
        <w:t xml:space="preserve"> а/у в отношении должника), в противном случае заявка не обрабатывается.</w:t>
      </w:r>
      <w:r w:rsidR="008B703A" w:rsidRPr="002A2617">
        <w:rPr>
          <w:rFonts w:ascii="Arial Narrow" w:hAnsi="Arial Narrow"/>
          <w:sz w:val="15"/>
          <w:szCs w:val="15"/>
        </w:rPr>
        <w:t xml:space="preserve"> В заявке не могут содержаться сведения относительно нескольких должников.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Гарантирую оплату счета по реквизитам: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 xml:space="preserve">ПОЛУЧАТЕЛЬ: </w:t>
      </w:r>
      <w:r w:rsidRPr="002A2617">
        <w:rPr>
          <w:rFonts w:ascii="Arial Narrow" w:hAnsi="Arial Narrow"/>
          <w:bCs/>
          <w:sz w:val="15"/>
          <w:szCs w:val="15"/>
        </w:rPr>
        <w:t>АО «КОММЕРСАНТЪ»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bookmarkStart w:id="1" w:name="OLE_LINK1"/>
      <w:r w:rsidRPr="002A2617">
        <w:rPr>
          <w:rFonts w:ascii="Arial Narrow" w:hAnsi="Arial Narrow"/>
          <w:b/>
          <w:bCs/>
          <w:sz w:val="15"/>
          <w:szCs w:val="15"/>
        </w:rPr>
        <w:t xml:space="preserve">ОГРН </w:t>
      </w:r>
      <w:r w:rsidRPr="002A2617">
        <w:rPr>
          <w:rFonts w:ascii="Arial Narrow" w:hAnsi="Arial Narrow"/>
          <w:bCs/>
          <w:sz w:val="15"/>
          <w:szCs w:val="15"/>
        </w:rPr>
        <w:t xml:space="preserve">1027700204751 </w:t>
      </w:r>
      <w:r w:rsidRPr="002A2617">
        <w:rPr>
          <w:rFonts w:ascii="Arial Narrow" w:hAnsi="Arial Narrow"/>
          <w:b/>
          <w:bCs/>
          <w:sz w:val="15"/>
          <w:szCs w:val="15"/>
        </w:rPr>
        <w:t>ИНН</w:t>
      </w:r>
      <w:r w:rsidRPr="002A2617">
        <w:rPr>
          <w:rFonts w:ascii="Arial Narrow" w:hAnsi="Arial Narrow"/>
          <w:bCs/>
          <w:sz w:val="15"/>
          <w:szCs w:val="15"/>
        </w:rPr>
        <w:t xml:space="preserve"> 7707120552 </w:t>
      </w:r>
      <w:proofErr w:type="gramStart"/>
      <w:r w:rsidRPr="002A2617">
        <w:rPr>
          <w:rFonts w:ascii="Arial Narrow" w:hAnsi="Arial Narrow"/>
          <w:b/>
          <w:bCs/>
          <w:sz w:val="15"/>
          <w:szCs w:val="15"/>
        </w:rPr>
        <w:t>КПП</w:t>
      </w:r>
      <w:r w:rsidRPr="002A2617">
        <w:rPr>
          <w:rFonts w:ascii="Arial Narrow" w:hAnsi="Arial Narrow"/>
          <w:bCs/>
          <w:sz w:val="15"/>
          <w:szCs w:val="15"/>
        </w:rPr>
        <w:t xml:space="preserve">  770701001</w:t>
      </w:r>
      <w:proofErr w:type="gramEnd"/>
      <w:r w:rsidRPr="002A2617">
        <w:rPr>
          <w:rFonts w:ascii="Arial Narrow" w:hAnsi="Arial Narrow"/>
          <w:bCs/>
          <w:sz w:val="15"/>
          <w:szCs w:val="15"/>
        </w:rPr>
        <w:t>; р/с № 40702</w:t>
      </w:r>
      <w:r w:rsidR="007A6613" w:rsidRPr="002A2617">
        <w:rPr>
          <w:rFonts w:ascii="Arial Narrow" w:hAnsi="Arial Narrow"/>
          <w:bCs/>
          <w:sz w:val="15"/>
          <w:szCs w:val="15"/>
        </w:rPr>
        <w:t>810</w:t>
      </w:r>
      <w:r w:rsidRPr="002A2617">
        <w:rPr>
          <w:rFonts w:ascii="Arial Narrow" w:hAnsi="Arial Narrow"/>
          <w:bCs/>
          <w:sz w:val="15"/>
          <w:szCs w:val="15"/>
        </w:rPr>
        <w:t xml:space="preserve">800003400822  в "РАЙФФАЙЗЕНБАНК" (АО)  Г. МОСКВА к/с № 30101810200000000700 </w:t>
      </w:r>
      <w:r w:rsidRPr="002A2617">
        <w:rPr>
          <w:rFonts w:ascii="Arial Narrow" w:hAnsi="Arial Narrow"/>
          <w:b/>
          <w:bCs/>
          <w:sz w:val="15"/>
          <w:szCs w:val="15"/>
        </w:rPr>
        <w:t>БИК</w:t>
      </w:r>
      <w:r w:rsidRPr="002A2617">
        <w:rPr>
          <w:rFonts w:ascii="Arial Narrow" w:hAnsi="Arial Narrow"/>
          <w:bCs/>
          <w:sz w:val="15"/>
          <w:szCs w:val="15"/>
        </w:rPr>
        <w:t xml:space="preserve"> 044525700  </w:t>
      </w:r>
      <w:r w:rsidRPr="002A2617">
        <w:rPr>
          <w:rFonts w:ascii="Arial Narrow" w:hAnsi="Arial Narrow"/>
          <w:b/>
          <w:bCs/>
          <w:sz w:val="15"/>
          <w:szCs w:val="15"/>
        </w:rPr>
        <w:t>ОКАТО</w:t>
      </w:r>
      <w:r w:rsidRPr="002A2617">
        <w:rPr>
          <w:rFonts w:ascii="Arial Narrow" w:hAnsi="Arial Narrow"/>
          <w:bCs/>
          <w:sz w:val="15"/>
          <w:szCs w:val="15"/>
        </w:rPr>
        <w:t xml:space="preserve"> 45286585000</w:t>
      </w:r>
    </w:p>
    <w:bookmarkEnd w:id="1"/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НАЗНАЧЕНИЕ ПЛАТЕЖА</w:t>
      </w:r>
      <w:r w:rsidRPr="002A2617">
        <w:rPr>
          <w:rFonts w:ascii="Arial Narrow" w:hAnsi="Arial Narrow"/>
          <w:bCs/>
          <w:sz w:val="15"/>
          <w:szCs w:val="15"/>
        </w:rPr>
        <w:t xml:space="preserve">: ОПЛАТА ЗА ПУБЛИКАЦИЮ СВЕДЕНИЙ О БАНКРОТСТВЕ ДОЛЖНИКА </w:t>
      </w:r>
      <w:r w:rsidRPr="002A2617">
        <w:rPr>
          <w:rFonts w:ascii="Arial Narrow" w:hAnsi="Arial Narrow"/>
          <w:b/>
          <w:bCs/>
          <w:sz w:val="15"/>
          <w:szCs w:val="15"/>
        </w:rPr>
        <w:t>ПО СЧЕТУ (УКАЗАТЬ НАИМЕНОВАНИЕ ДОЛЖНИКА, ОГРН, № СЧЕТА)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мск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lastRenderedPageBreak/>
        <w:t>Претензии по поводу публикации принимаются в течение семи дней с даты публикации.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Диадок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» (diadoc.ru).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Издатель оставляет за собой право отказать в публикации: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непредставлении подтверждающих документов и текста сообщения;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 xml:space="preserve">при неправильном заполнении или </w:t>
      </w:r>
      <w:proofErr w:type="spellStart"/>
      <w:r w:rsidRPr="002A2617">
        <w:rPr>
          <w:rFonts w:ascii="Arial Narrow" w:hAnsi="Arial Narrow"/>
          <w:sz w:val="15"/>
          <w:szCs w:val="15"/>
        </w:rPr>
        <w:t>незаполнении</w:t>
      </w:r>
      <w:proofErr w:type="spellEnd"/>
      <w:r w:rsidRPr="002A2617">
        <w:rPr>
          <w:rFonts w:ascii="Arial Narrow" w:hAnsi="Arial Narrow"/>
          <w:sz w:val="15"/>
          <w:szCs w:val="15"/>
        </w:rPr>
        <w:t xml:space="preserve"> настоящей заявки;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отсутствии или неправильном заполнении назначения платежа в платежном документе: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неоплате услуг Издателя.</w:t>
      </w:r>
    </w:p>
    <w:p w:rsidR="00B646D1" w:rsidRPr="002A2617" w:rsidRDefault="00B646D1" w:rsidP="00B646D1">
      <w:pPr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Заказчик</w:t>
      </w:r>
      <w:r w:rsidRPr="002A2617">
        <w:rPr>
          <w:rFonts w:ascii="Arial Narrow" w:hAnsi="Arial Narrow"/>
          <w:sz w:val="15"/>
          <w:szCs w:val="15"/>
        </w:rPr>
        <w:t>:</w:t>
      </w:r>
    </w:p>
    <w:tbl>
      <w:tblPr>
        <w:tblW w:w="8776" w:type="dxa"/>
        <w:tblLook w:val="01E0" w:firstRow="1" w:lastRow="1" w:firstColumn="1" w:lastColumn="1" w:noHBand="0" w:noVBand="0"/>
      </w:tblPr>
      <w:tblGrid>
        <w:gridCol w:w="4783"/>
        <w:gridCol w:w="249"/>
        <w:gridCol w:w="3363"/>
        <w:gridCol w:w="381"/>
      </w:tblGrid>
      <w:tr w:rsidR="002127E9" w:rsidRPr="002A2617" w:rsidTr="002A2617">
        <w:trPr>
          <w:trHeight w:val="147"/>
        </w:trPr>
        <w:tc>
          <w:tcPr>
            <w:tcW w:w="4783" w:type="dxa"/>
            <w:shd w:val="clear" w:color="auto" w:fill="auto"/>
          </w:tcPr>
          <w:sdt>
            <w:sdtPr>
              <w:rPr>
                <w:rFonts w:ascii="Arial Narrow" w:hAnsi="Arial Narrow"/>
                <w:sz w:val="15"/>
                <w:szCs w:val="15"/>
              </w:rPr>
              <w:id w:val="-554695793"/>
            </w:sdtPr>
            <w:sdtEndPr/>
            <w:sdtContent>
              <w:p w:rsidR="002127E9" w:rsidRPr="002A2617" w:rsidRDefault="002127E9" w:rsidP="00B646D1">
                <w:pPr>
                  <w:rPr>
                    <w:rFonts w:ascii="Arial Narrow" w:hAnsi="Arial Narrow"/>
                    <w:sz w:val="15"/>
                    <w:szCs w:val="15"/>
                  </w:rPr>
                </w:pPr>
                <w:r w:rsidRPr="002A2617">
                  <w:rPr>
                    <w:rFonts w:ascii="Arial Narrow" w:hAnsi="Arial Narrow"/>
                    <w:sz w:val="15"/>
                    <w:szCs w:val="15"/>
                  </w:rPr>
                  <w:t>ФИО, должность</w:t>
                </w:r>
              </w:p>
            </w:sdtContent>
          </w:sdt>
        </w:tc>
        <w:tc>
          <w:tcPr>
            <w:tcW w:w="249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  <w:r w:rsidRPr="002A2617">
              <w:rPr>
                <w:rFonts w:ascii="Arial Narrow" w:hAnsi="Arial Narrow"/>
                <w:sz w:val="15"/>
                <w:szCs w:val="15"/>
              </w:rPr>
              <w:t>подпись</w:t>
            </w:r>
          </w:p>
        </w:tc>
        <w:tc>
          <w:tcPr>
            <w:tcW w:w="381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127E9" w:rsidRPr="002127E9" w:rsidTr="002A2617">
        <w:trPr>
          <w:trHeight w:val="172"/>
        </w:trPr>
        <w:tc>
          <w:tcPr>
            <w:tcW w:w="478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</w:t>
    </w:r>
    <w:proofErr w:type="gramStart"/>
    <w:r w:rsidRPr="0046588E">
      <w:rPr>
        <w:rFonts w:ascii="Arial Narrow" w:hAnsi="Arial Narrow"/>
        <w:bCs/>
        <w:sz w:val="18"/>
        <w:szCs w:val="18"/>
      </w:rPr>
      <w:t>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1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82630">
          <w:rPr>
            <w:rFonts w:ascii="Arial Narrow" w:hAnsi="Arial Narrow"/>
            <w:b/>
            <w:sz w:val="20"/>
            <w:szCs w:val="20"/>
          </w:rPr>
          <w:t>25.01.2019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C1373"/>
    <w:rsid w:val="000E67FD"/>
    <w:rsid w:val="001641E0"/>
    <w:rsid w:val="00192FB2"/>
    <w:rsid w:val="001A7D35"/>
    <w:rsid w:val="001B47F0"/>
    <w:rsid w:val="00206229"/>
    <w:rsid w:val="002127E9"/>
    <w:rsid w:val="00282630"/>
    <w:rsid w:val="002A2617"/>
    <w:rsid w:val="002A3A26"/>
    <w:rsid w:val="00330BA3"/>
    <w:rsid w:val="0034576D"/>
    <w:rsid w:val="00354442"/>
    <w:rsid w:val="003F3274"/>
    <w:rsid w:val="00400C3D"/>
    <w:rsid w:val="0046588E"/>
    <w:rsid w:val="004A43C1"/>
    <w:rsid w:val="00536713"/>
    <w:rsid w:val="005513A1"/>
    <w:rsid w:val="00584AD5"/>
    <w:rsid w:val="006077AD"/>
    <w:rsid w:val="006552E3"/>
    <w:rsid w:val="006B275E"/>
    <w:rsid w:val="006D6282"/>
    <w:rsid w:val="006E431F"/>
    <w:rsid w:val="007A6613"/>
    <w:rsid w:val="007D653A"/>
    <w:rsid w:val="007E1C69"/>
    <w:rsid w:val="007F40E2"/>
    <w:rsid w:val="00810CBB"/>
    <w:rsid w:val="00837684"/>
    <w:rsid w:val="00871984"/>
    <w:rsid w:val="00894171"/>
    <w:rsid w:val="008B703A"/>
    <w:rsid w:val="008D6A17"/>
    <w:rsid w:val="00945D62"/>
    <w:rsid w:val="00974428"/>
    <w:rsid w:val="00A12DFC"/>
    <w:rsid w:val="00A140DB"/>
    <w:rsid w:val="00A76FB2"/>
    <w:rsid w:val="00AB32DF"/>
    <w:rsid w:val="00B1294A"/>
    <w:rsid w:val="00B646D1"/>
    <w:rsid w:val="00BC77BE"/>
    <w:rsid w:val="00BE4F8C"/>
    <w:rsid w:val="00BE6F9E"/>
    <w:rsid w:val="00BE79BB"/>
    <w:rsid w:val="00CA0A3D"/>
    <w:rsid w:val="00CB2DE1"/>
    <w:rsid w:val="00CB45AA"/>
    <w:rsid w:val="00DB2D2A"/>
    <w:rsid w:val="00E11968"/>
    <w:rsid w:val="00EE7FCB"/>
    <w:rsid w:val="00F209B5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9D6CF-FF1F-4612-B7BC-928C15F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D71FE3470449D8AB07F3E3E511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8D777-7379-4346-832B-AB01D1B0C319}"/>
      </w:docPartPr>
      <w:docPartBody>
        <w:p w:rsidR="00710F20" w:rsidRDefault="007D62A5" w:rsidP="007D62A5">
          <w:pPr>
            <w:pStyle w:val="B3DD71FE3470449D8AB07F3E3E51138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303440"/>
    <w:rsid w:val="00380F40"/>
    <w:rsid w:val="00710F20"/>
    <w:rsid w:val="007D62A5"/>
    <w:rsid w:val="007E38F1"/>
    <w:rsid w:val="00847A94"/>
    <w:rsid w:val="008D3D48"/>
    <w:rsid w:val="009C572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2A5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B3DD71FE3470449D8AB07F3E3E511384">
    <w:name w:val="B3DD71FE3470449D8AB07F3E3E511384"/>
    <w:rsid w:val="007D62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2019-02-05T11:41:00Z</cp:lastPrinted>
  <dcterms:created xsi:type="dcterms:W3CDTF">2019-01-25T11:16:00Z</dcterms:created>
  <dcterms:modified xsi:type="dcterms:W3CDTF">2019-02-06T07:33:00Z</dcterms:modified>
</cp:coreProperties>
</file>