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031CF6">
      <w:pPr>
        <w:widowControl/>
        <w:tabs>
          <w:tab w:val="left" w:pos="6804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</w:t>
      </w:r>
      <w:r w:rsidR="00031CF6">
        <w:rPr>
          <w:sz w:val="24"/>
          <w:szCs w:val="24"/>
          <w:u w:val="single"/>
          <w:lang w:val="ru-RU" w:eastAsia="ru-RU"/>
        </w:rPr>
        <w:t>г</w:t>
      </w:r>
      <w:r w:rsidR="00031CF6" w:rsidRPr="00031CF6">
        <w:rPr>
          <w:sz w:val="24"/>
          <w:szCs w:val="24"/>
          <w:lang w:val="ru-RU" w:eastAsia="ru-RU"/>
        </w:rPr>
        <w:tab/>
      </w:r>
      <w:bookmarkStart w:id="1" w:name="_GoBack"/>
      <w:bookmarkEnd w:id="1"/>
      <w:r w:rsidRPr="00031CF6">
        <w:rPr>
          <w:sz w:val="24"/>
          <w:szCs w:val="24"/>
          <w:lang w:val="ru-RU" w:eastAsia="ru-RU"/>
        </w:rPr>
        <w:t>«__</w:t>
      </w:r>
      <w:proofErr w:type="gramStart"/>
      <w:r w:rsidRPr="00031CF6">
        <w:rPr>
          <w:sz w:val="24"/>
          <w:szCs w:val="24"/>
          <w:lang w:val="ru-RU" w:eastAsia="ru-RU"/>
        </w:rPr>
        <w:t>_»_</w:t>
      </w:r>
      <w:proofErr w:type="gramEnd"/>
      <w:r w:rsidRPr="00031CF6">
        <w:rPr>
          <w:sz w:val="24"/>
          <w:szCs w:val="24"/>
          <w:lang w:val="ru-RU" w:eastAsia="ru-RU"/>
        </w:rPr>
        <w:t>________</w:t>
      </w:r>
      <w:r w:rsidRPr="005D0742">
        <w:rPr>
          <w:sz w:val="24"/>
          <w:szCs w:val="24"/>
          <w:u w:val="single"/>
          <w:lang w:val="ru-RU" w:eastAsia="ru-RU"/>
        </w:rPr>
        <w:t>2019 г.</w:t>
      </w:r>
    </w:p>
    <w:p w:rsid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031CF6" w:rsidRPr="00031CF6" w:rsidRDefault="00031CF6" w:rsidP="00031CF6">
      <w:pPr>
        <w:widowControl/>
        <w:ind w:left="1276" w:firstLine="284"/>
        <w:jc w:val="both"/>
        <w:rPr>
          <w:sz w:val="24"/>
          <w:szCs w:val="24"/>
          <w:lang w:val="ru-RU" w:eastAsia="ru-RU"/>
        </w:rPr>
      </w:pPr>
      <w:r w:rsidRPr="00031CF6">
        <w:rPr>
          <w:sz w:val="24"/>
          <w:szCs w:val="24"/>
          <w:lang w:val="ru-RU" w:eastAsia="ru-RU"/>
        </w:rPr>
        <w:t xml:space="preserve">ООО «Грант Консалт», привлеченное финансовым управляющим гражданина </w:t>
      </w:r>
      <w:proofErr w:type="spellStart"/>
      <w:r w:rsidRPr="00031CF6">
        <w:rPr>
          <w:sz w:val="24"/>
          <w:szCs w:val="24"/>
          <w:lang w:val="ru-RU" w:eastAsia="ru-RU"/>
        </w:rPr>
        <w:t>Саковича</w:t>
      </w:r>
      <w:proofErr w:type="spellEnd"/>
      <w:r w:rsidRPr="00031CF6">
        <w:rPr>
          <w:sz w:val="24"/>
          <w:szCs w:val="24"/>
          <w:lang w:val="ru-RU" w:eastAsia="ru-RU"/>
        </w:rPr>
        <w:t xml:space="preserve"> Андрея Владимировича (дата рождения 25.01.1974, место рождения: r. Калининград, ИНН 390800479130, СНИЛС 017-934-147-59, адрес: 236023, Калининградская область, г. Калининград, ул. Осенняя, д. 4а, кв. 42)  </w:t>
      </w:r>
      <w:proofErr w:type="spellStart"/>
      <w:r w:rsidRPr="00031CF6">
        <w:rPr>
          <w:sz w:val="24"/>
          <w:szCs w:val="24"/>
          <w:lang w:val="ru-RU" w:eastAsia="ru-RU"/>
        </w:rPr>
        <w:t>Сатюковым</w:t>
      </w:r>
      <w:proofErr w:type="spellEnd"/>
      <w:r w:rsidRPr="00031CF6">
        <w:rPr>
          <w:sz w:val="24"/>
          <w:szCs w:val="24"/>
          <w:lang w:val="ru-RU" w:eastAsia="ru-RU"/>
        </w:rPr>
        <w:t xml:space="preserve"> Димитрием Николаевичем (ИНН 390705904547 СНИЛС 140-850-690 49), членом СОАУ «Континент» (СРО) (ОГРН 1027804888704, ИНН 7810274570; 191187, Санкт-Петербург, ул. Чайковского, д. 12, лит. В).,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031CF6" w:rsidRPr="005D0742" w:rsidRDefault="00031CF6" w:rsidP="00031CF6">
      <w:pPr>
        <w:widowControl/>
        <w:ind w:left="1276" w:firstLine="284"/>
        <w:jc w:val="both"/>
        <w:rPr>
          <w:sz w:val="24"/>
          <w:szCs w:val="24"/>
          <w:lang w:val="ru-RU" w:eastAsia="ru-RU"/>
        </w:rPr>
      </w:pPr>
      <w:r w:rsidRPr="00031CF6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proofErr w:type="spellStart"/>
      <w:r w:rsidRPr="00031CF6">
        <w:rPr>
          <w:sz w:val="24"/>
          <w:szCs w:val="24"/>
          <w:lang w:val="ru-RU" w:eastAsia="ru-RU"/>
        </w:rPr>
        <w:t>Саковича</w:t>
      </w:r>
      <w:proofErr w:type="spellEnd"/>
      <w:r w:rsidRPr="00031CF6">
        <w:rPr>
          <w:sz w:val="24"/>
          <w:szCs w:val="24"/>
          <w:lang w:val="ru-RU" w:eastAsia="ru-RU"/>
        </w:rPr>
        <w:t xml:space="preserve"> Андрея Владимировича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031CF6" w:rsidRDefault="005D0742" w:rsidP="00031CF6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031CF6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031CF6" w:rsidRPr="00031CF6">
        <w:rPr>
          <w:sz w:val="24"/>
          <w:szCs w:val="24"/>
          <w:lang w:val="ru-RU" w:eastAsia="ru-RU"/>
        </w:rPr>
        <w:t>Лот №1 - Нежилое помещение, литер II из литера А, общей площадью 188,9</w:t>
      </w:r>
      <w:r w:rsidR="00031CF6" w:rsidRPr="00031CF6">
        <w:rPr>
          <w:sz w:val="24"/>
          <w:szCs w:val="24"/>
          <w:lang w:val="ru-RU" w:eastAsia="ru-RU"/>
        </w:rPr>
        <w:t xml:space="preserve"> </w:t>
      </w:r>
      <w:proofErr w:type="spellStart"/>
      <w:r w:rsidR="00031CF6" w:rsidRPr="00031CF6">
        <w:rPr>
          <w:sz w:val="24"/>
          <w:szCs w:val="24"/>
          <w:lang w:val="ru-RU" w:eastAsia="ru-RU"/>
        </w:rPr>
        <w:t>кв.м</w:t>
      </w:r>
      <w:proofErr w:type="spellEnd"/>
      <w:r w:rsidR="00031CF6" w:rsidRPr="00031CF6">
        <w:rPr>
          <w:sz w:val="24"/>
          <w:szCs w:val="24"/>
          <w:lang w:val="ru-RU" w:eastAsia="ru-RU"/>
        </w:rPr>
        <w:t xml:space="preserve">., расположенное по адресу: город Калининград, улица Черниговская, дом 18-20, кадастровый номер: 39:15:140907:323.  Лот №2 - Нежилое здание-эллинг №142-143, общей площадью 215,9 </w:t>
      </w:r>
      <w:proofErr w:type="spellStart"/>
      <w:r w:rsidR="00031CF6" w:rsidRPr="00031CF6">
        <w:rPr>
          <w:sz w:val="24"/>
          <w:szCs w:val="24"/>
          <w:lang w:val="ru-RU" w:eastAsia="ru-RU"/>
        </w:rPr>
        <w:t>кв.м</w:t>
      </w:r>
      <w:proofErr w:type="spellEnd"/>
      <w:r w:rsidR="00031CF6" w:rsidRPr="00031CF6">
        <w:rPr>
          <w:sz w:val="24"/>
          <w:szCs w:val="24"/>
          <w:lang w:val="ru-RU" w:eastAsia="ru-RU"/>
        </w:rPr>
        <w:t xml:space="preserve">, с земельным участком из земель населенных пунктов для обслуживания и эксплуатации эллинга, общей площадью 133,0 </w:t>
      </w:r>
      <w:proofErr w:type="spellStart"/>
      <w:r w:rsidR="00031CF6" w:rsidRPr="00031CF6">
        <w:rPr>
          <w:sz w:val="24"/>
          <w:szCs w:val="24"/>
          <w:lang w:val="ru-RU" w:eastAsia="ru-RU"/>
        </w:rPr>
        <w:t>кв.м</w:t>
      </w:r>
      <w:proofErr w:type="spellEnd"/>
      <w:r w:rsidR="00031CF6" w:rsidRPr="00031CF6">
        <w:rPr>
          <w:sz w:val="24"/>
          <w:szCs w:val="24"/>
          <w:lang w:val="ru-RU" w:eastAsia="ru-RU"/>
        </w:rPr>
        <w:t xml:space="preserve">, расположенные по адресу: Калининградская область, </w:t>
      </w:r>
      <w:proofErr w:type="spellStart"/>
      <w:r w:rsidR="00031CF6" w:rsidRPr="00031CF6">
        <w:rPr>
          <w:sz w:val="24"/>
          <w:szCs w:val="24"/>
          <w:lang w:val="ru-RU" w:eastAsia="ru-RU"/>
        </w:rPr>
        <w:t>Гурьевский</w:t>
      </w:r>
      <w:proofErr w:type="spellEnd"/>
      <w:r w:rsidR="00031CF6" w:rsidRPr="00031CF6">
        <w:rPr>
          <w:sz w:val="24"/>
          <w:szCs w:val="24"/>
          <w:lang w:val="ru-RU" w:eastAsia="ru-RU"/>
        </w:rPr>
        <w:t xml:space="preserve"> район, ДНТ КДВМК «Дельфин», эллинг №142-143, кадастровый номер: 39:03:080802:510.</w:t>
      </w:r>
      <w:r w:rsidRPr="00031CF6">
        <w:rPr>
          <w:color w:val="000000"/>
          <w:sz w:val="24"/>
          <w:szCs w:val="24"/>
          <w:lang w:val="ru-RU" w:eastAsia="ru-RU"/>
        </w:rPr>
        <w:t>)</w:t>
      </w:r>
      <w:r w:rsidRPr="00031CF6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031CF6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031CF6">
        <w:rPr>
          <w:color w:val="000000"/>
          <w:sz w:val="24"/>
          <w:szCs w:val="24"/>
          <w:lang w:val="ru-RU" w:eastAsia="ru-RU"/>
        </w:rPr>
        <w:t>22</w:t>
      </w:r>
      <w:r w:rsidRPr="00031CF6">
        <w:rPr>
          <w:color w:val="000000"/>
          <w:sz w:val="24"/>
          <w:szCs w:val="24"/>
          <w:lang w:val="ru-RU" w:eastAsia="ru-RU"/>
        </w:rPr>
        <w:t xml:space="preserve"> </w:t>
      </w:r>
      <w:r w:rsidR="00031CF6">
        <w:rPr>
          <w:color w:val="000000"/>
          <w:sz w:val="24"/>
          <w:szCs w:val="24"/>
          <w:lang w:val="ru-RU" w:eastAsia="ru-RU"/>
        </w:rPr>
        <w:t>марта</w:t>
      </w:r>
      <w:r w:rsidRPr="00031CF6">
        <w:rPr>
          <w:color w:val="000000"/>
          <w:sz w:val="24"/>
          <w:szCs w:val="24"/>
          <w:lang w:val="ru-RU" w:eastAsia="ru-RU"/>
        </w:rPr>
        <w:t xml:space="preserve"> 2019г., перечисляет денежные средства, составляющие </w:t>
      </w:r>
      <w:r w:rsidR="00031CF6">
        <w:rPr>
          <w:color w:val="000000"/>
          <w:sz w:val="24"/>
          <w:szCs w:val="24"/>
          <w:lang w:val="ru-RU" w:eastAsia="ru-RU"/>
        </w:rPr>
        <w:t>2</w:t>
      </w:r>
      <w:r w:rsidRPr="00031CF6">
        <w:rPr>
          <w:color w:val="000000"/>
          <w:sz w:val="24"/>
          <w:szCs w:val="24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в Филиале «Санкт-Петербургский» АО «Альфа-Банк», г. Санкт-Петербург, к/с 30101810600000786, БИК 044030786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назначение платежа: «Задаток за участие в торгах по продаже имущества </w:t>
      </w:r>
      <w:proofErr w:type="spellStart"/>
      <w:r w:rsidR="00031CF6" w:rsidRPr="00031CF6">
        <w:rPr>
          <w:sz w:val="24"/>
          <w:szCs w:val="24"/>
          <w:lang w:val="ru-RU" w:eastAsia="ru-RU"/>
        </w:rPr>
        <w:t>Сакович</w:t>
      </w:r>
      <w:r w:rsidR="005E6C82">
        <w:rPr>
          <w:color w:val="000000"/>
          <w:sz w:val="24"/>
          <w:szCs w:val="24"/>
          <w:lang w:val="ru-RU" w:eastAsia="ru-RU"/>
        </w:rPr>
        <w:t>а</w:t>
      </w:r>
      <w:proofErr w:type="spellEnd"/>
      <w:r w:rsidR="005E6C82">
        <w:rPr>
          <w:color w:val="000000"/>
          <w:sz w:val="24"/>
          <w:szCs w:val="24"/>
          <w:lang w:val="ru-RU" w:eastAsia="ru-RU"/>
        </w:rPr>
        <w:t xml:space="preserve"> </w:t>
      </w:r>
      <w:r w:rsidR="00031CF6">
        <w:rPr>
          <w:color w:val="000000"/>
          <w:sz w:val="24"/>
          <w:szCs w:val="24"/>
          <w:lang w:val="ru-RU" w:eastAsia="ru-RU"/>
        </w:rPr>
        <w:t>А.В.</w:t>
      </w:r>
      <w:r w:rsidRPr="005D0742">
        <w:rPr>
          <w:color w:val="000000"/>
          <w:sz w:val="24"/>
          <w:szCs w:val="24"/>
          <w:lang w:val="ru-RU" w:eastAsia="ru-RU"/>
        </w:rPr>
        <w:t>», лот № 1. НДС не облагается».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E6C82" w:rsidRDefault="005E6C8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681"/>
      </w:tblGrid>
      <w:tr w:rsidR="005D0742" w:rsidRPr="005D0742" w:rsidTr="00031CF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031C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031CF6"/>
    <w:rsid w:val="001673C0"/>
    <w:rsid w:val="001A16C9"/>
    <w:rsid w:val="001D5C00"/>
    <w:rsid w:val="00236902"/>
    <w:rsid w:val="00326BF3"/>
    <w:rsid w:val="00444036"/>
    <w:rsid w:val="00527D86"/>
    <w:rsid w:val="005D0742"/>
    <w:rsid w:val="005E6C82"/>
    <w:rsid w:val="00701AC0"/>
    <w:rsid w:val="00A23581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8DD5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amatertrade@yandex.ru</cp:lastModifiedBy>
  <cp:revision>6</cp:revision>
  <cp:lastPrinted>2019-02-05T10:13:00Z</cp:lastPrinted>
  <dcterms:created xsi:type="dcterms:W3CDTF">2019-02-05T10:22:00Z</dcterms:created>
  <dcterms:modified xsi:type="dcterms:W3CDTF">2019-02-08T12:58:00Z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