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73">
        <w:rPr>
          <w:rFonts w:ascii="Times New Roman" w:hAnsi="Times New Roman" w:cs="Times New Roman"/>
          <w:bCs/>
          <w:sz w:val="24"/>
          <w:szCs w:val="24"/>
        </w:rPr>
        <w:t>Предмет торгов (Лот №1):</w:t>
      </w:r>
    </w:p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>Недвижимое имущество: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1. Здание ремонтных мастерских, назначение: нежилое (2-этажное), площадь 1288,5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</w:t>
      </w:r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10:05:000000:6437; 2. Здание столярного цеха, назначение: нежилое (1-этажное), площадь 126,1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. № 10:05:0000000:41; 3. </w:t>
      </w:r>
      <w:r w:rsidRPr="00977873">
        <w:rPr>
          <w:rFonts w:ascii="Times New Roman" w:hAnsi="Times New Roman" w:cs="Times New Roman"/>
          <w:sz w:val="24"/>
          <w:szCs w:val="24"/>
        </w:rPr>
        <w:t xml:space="preserve">Здание гаража, назначение: нежилое (1-этажное), площадь 413,6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10:05:0000000:6501;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4. Здание бытового назначения, назначение: нежилое (1-этажное), площадь 63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10:05:0000000:187;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5. Здание корпуса дробления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2005,9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10:05:0000000:760;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6. Здание перегрузочного узла №2, погрузочного бункера №2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263,5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10:05:0000000:7041;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7. Здание перегрузочного узла №1, погрузочного бункера №1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394,0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10:05:0000000:7039;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8. Здание корпуса сортировки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1280,3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10:05:0000000:7040;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9. Здание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надштабельной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подштабельной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галерей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2255,7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10:05:0000000:7042;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Сооружение (Подъездные железнодорожные пути), назначение: промышленное, протяженность: 9 345 м., адрес: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от урочища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до станции Питкяранта,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10:05:0000000:120;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11. Здание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тепловозо-ремонтного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депо, назначение: нежилое (1-этажное), площадь 352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10:05:0000000:172.</w:t>
      </w:r>
    </w:p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>Движимое имущество: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1. Весы вагонные ВВЭ-Д-150-НП1; 2. Орган тягово-несущий (в </w:t>
      </w:r>
      <w:proofErr w:type="gramStart"/>
      <w:r w:rsidRPr="00977873">
        <w:rPr>
          <w:rFonts w:ascii="Times New Roman" w:hAnsi="Times New Roman" w:cs="Times New Roman"/>
          <w:bCs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"ДСФ-400") ПП 1-15-90.</w:t>
      </w:r>
    </w:p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Право аренды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(арендодатель - Администрация Питкярантского </w:t>
      </w:r>
      <w:proofErr w:type="gramStart"/>
      <w:r w:rsidRPr="0097787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района):</w:t>
      </w: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>1. Земельный участок площадью 231730 кв. м. по Договору аренды № 1653 от 22.10.2003, месторасположение:</w:t>
      </w:r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Урочище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Луппико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№10:05:050102:005;</w:t>
      </w: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2. Земельный участок площадью </w:t>
      </w:r>
      <w:r w:rsidRPr="00977873">
        <w:rPr>
          <w:rFonts w:ascii="Times New Roman" w:hAnsi="Times New Roman" w:cs="Times New Roman"/>
          <w:sz w:val="24"/>
          <w:szCs w:val="24"/>
        </w:rPr>
        <w:t xml:space="preserve">71057 кв. м. </w:t>
      </w:r>
      <w:r w:rsidRPr="00977873">
        <w:rPr>
          <w:rFonts w:ascii="Times New Roman" w:hAnsi="Times New Roman" w:cs="Times New Roman"/>
          <w:bCs/>
          <w:sz w:val="24"/>
          <w:szCs w:val="24"/>
        </w:rPr>
        <w:t>по Договору аренды № 1654 от 22.10.2003, месторасположение:</w:t>
      </w:r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Урочище Луппико-2,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№10:05:050103:003;</w:t>
      </w: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3. Земельный участок площадью </w:t>
      </w:r>
      <w:r w:rsidRPr="00977873">
        <w:rPr>
          <w:rFonts w:ascii="Times New Roman" w:hAnsi="Times New Roman" w:cs="Times New Roman"/>
          <w:sz w:val="24"/>
          <w:szCs w:val="24"/>
        </w:rPr>
        <w:t xml:space="preserve">345703 кв. м. </w:t>
      </w:r>
      <w:r w:rsidRPr="00977873">
        <w:rPr>
          <w:rFonts w:ascii="Times New Roman" w:hAnsi="Times New Roman" w:cs="Times New Roman"/>
          <w:bCs/>
          <w:sz w:val="24"/>
          <w:szCs w:val="24"/>
        </w:rPr>
        <w:t>по Договору аренды № 1655 от 22.10.2003, месторасположение:</w:t>
      </w:r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в урочище в 5 км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юго-востоку от г. Питкяранта,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№10:05:050102:006.</w:t>
      </w:r>
    </w:p>
    <w:p w:rsidR="00213BDB" w:rsidRDefault="00213BDB"/>
    <w:sectPr w:rsidR="0021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7873"/>
    <w:rsid w:val="00213BDB"/>
    <w:rsid w:val="0097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2019-03-22T15:43:00Z</dcterms:created>
  <dcterms:modified xsi:type="dcterms:W3CDTF">2019-03-22T15:43:00Z</dcterms:modified>
</cp:coreProperties>
</file>