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63" w:rsidRPr="00587BDB" w:rsidRDefault="00291B63" w:rsidP="00291B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о задатке №____</w:t>
      </w:r>
    </w:p>
    <w:p w:rsidR="00291B63" w:rsidRPr="00587BDB" w:rsidRDefault="00291B63" w:rsidP="00291B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(договор присоединения)</w:t>
      </w:r>
    </w:p>
    <w:p w:rsidR="00291B63" w:rsidRPr="00587BDB" w:rsidRDefault="00291B63" w:rsidP="00291B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</w:p>
    <w:p w:rsidR="00291B63" w:rsidRPr="00587BDB" w:rsidRDefault="00B06F38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65064">
        <w:rPr>
          <w:rStyle w:val="a8"/>
          <w:rFonts w:eastAsiaTheme="minorHAnsi"/>
          <w:sz w:val="24"/>
        </w:rPr>
        <w:t xml:space="preserve">Конкурсный управляющий </w:t>
      </w:r>
      <w:proofErr w:type="spellStart"/>
      <w:r w:rsidRPr="004F69A0">
        <w:rPr>
          <w:rFonts w:ascii="Times New Roman" w:hAnsi="Times New Roman"/>
          <w:sz w:val="19"/>
          <w:szCs w:val="19"/>
        </w:rPr>
        <w:t>Ходько</w:t>
      </w:r>
      <w:proofErr w:type="spellEnd"/>
      <w:r w:rsidRPr="004F69A0">
        <w:rPr>
          <w:rFonts w:ascii="Times New Roman" w:hAnsi="Times New Roman"/>
          <w:sz w:val="19"/>
          <w:szCs w:val="19"/>
        </w:rPr>
        <w:t xml:space="preserve"> Никита Юрьевич (ИНН 420540434197)</w:t>
      </w:r>
      <w:r w:rsidRPr="00E65064">
        <w:rPr>
          <w:rFonts w:ascii="Times New Roman" w:hAnsi="Times New Roman"/>
          <w:sz w:val="24"/>
          <w:szCs w:val="24"/>
        </w:rPr>
        <w:t xml:space="preserve">, именуемый в дальнейшем </w:t>
      </w:r>
      <w:r w:rsidRPr="00E65064">
        <w:rPr>
          <w:rStyle w:val="a8"/>
          <w:rFonts w:eastAsiaTheme="minorHAnsi"/>
          <w:sz w:val="24"/>
        </w:rPr>
        <w:t>«Конкурсный управляющий», «Доверитель»</w:t>
      </w:r>
      <w:r w:rsidRPr="00393B7F">
        <w:rPr>
          <w:rFonts w:ascii="Times New Roman" w:hAnsi="Times New Roman"/>
          <w:sz w:val="24"/>
          <w:szCs w:val="24"/>
        </w:rPr>
        <w:t xml:space="preserve"> </w:t>
      </w:r>
      <w:r w:rsidRPr="00641B31">
        <w:rPr>
          <w:rFonts w:ascii="Times New Roman" w:hAnsi="Times New Roman"/>
          <w:sz w:val="24"/>
          <w:szCs w:val="24"/>
        </w:rPr>
        <w:t xml:space="preserve">действующий на основании </w:t>
      </w:r>
      <w:r w:rsidRPr="00FD03E9">
        <w:rPr>
          <w:rFonts w:ascii="Times New Roman" w:hAnsi="Times New Roman"/>
          <w:sz w:val="24"/>
          <w:szCs w:val="24"/>
        </w:rPr>
        <w:t>Решения Арбитражного суда Ярославской области от 10.05.2016г. по делу №А82-8159/2015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B31">
        <w:rPr>
          <w:rFonts w:ascii="Times New Roman" w:hAnsi="Times New Roman"/>
          <w:sz w:val="24"/>
          <w:szCs w:val="24"/>
        </w:rPr>
        <w:t xml:space="preserve">в интересах </w:t>
      </w:r>
      <w:r w:rsidRPr="00FD03E9">
        <w:rPr>
          <w:rFonts w:ascii="Times New Roman" w:hAnsi="Times New Roman"/>
          <w:sz w:val="24"/>
          <w:szCs w:val="24"/>
        </w:rPr>
        <w:t xml:space="preserve">Открытого акционерного общества «Ярославский мукомольный завод №1 имени Я.Л. Грача» (150001, г. Ярославль, Портовая </w:t>
      </w:r>
      <w:proofErr w:type="spellStart"/>
      <w:r w:rsidRPr="00FD03E9">
        <w:rPr>
          <w:rFonts w:ascii="Times New Roman" w:hAnsi="Times New Roman"/>
          <w:sz w:val="24"/>
          <w:szCs w:val="24"/>
        </w:rPr>
        <w:t>наб</w:t>
      </w:r>
      <w:proofErr w:type="spellEnd"/>
      <w:r w:rsidRPr="00FD03E9">
        <w:rPr>
          <w:rFonts w:ascii="Times New Roman" w:hAnsi="Times New Roman"/>
          <w:sz w:val="24"/>
          <w:szCs w:val="24"/>
        </w:rPr>
        <w:t>., д. 16, ИНН/ОГРН 7604007700/1027600681118)</w:t>
      </w:r>
      <w:r w:rsidR="00291B63" w:rsidRPr="00587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 одной стороны, и</w:t>
      </w:r>
      <w:proofErr w:type="gramEnd"/>
    </w:p>
    <w:p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претендент на участие в торгах </w:t>
      </w:r>
    </w:p>
    <w:p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D30A39" w:rsidRDefault="00291B63" w:rsidP="00D30A3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условиями настоящего Договора Претендент для участия в торгах посредством пу</w:t>
      </w:r>
      <w:r w:rsidR="00D30A39">
        <w:rPr>
          <w:rFonts w:ascii="Times New Roman" w:eastAsia="Times New Roman" w:hAnsi="Times New Roman"/>
          <w:sz w:val="24"/>
          <w:szCs w:val="24"/>
          <w:lang w:eastAsia="ru-RU"/>
        </w:rPr>
        <w:t>бличного предложения по продаже</w:t>
      </w: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Продажа)</w:t>
      </w:r>
      <w:r w:rsidR="00D30A39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</w:t>
      </w: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0A39">
        <w:rPr>
          <w:rFonts w:ascii="Times New Roman" w:hAnsi="Times New Roman"/>
          <w:noProof/>
          <w:sz w:val="24"/>
          <w:szCs w:val="24"/>
          <w:lang w:eastAsia="ru-RU"/>
        </w:rPr>
        <w:t>имущества,</w:t>
      </w:r>
      <w:r w:rsidR="00D30A39" w:rsidRPr="00C81A64">
        <w:rPr>
          <w:rFonts w:ascii="Times New Roman" w:hAnsi="Times New Roman"/>
          <w:noProof/>
          <w:sz w:val="24"/>
          <w:szCs w:val="24"/>
          <w:lang w:eastAsia="ru-RU"/>
        </w:rPr>
        <w:t xml:space="preserve"> указанно</w:t>
      </w:r>
      <w:r w:rsidR="00D30A39">
        <w:rPr>
          <w:rFonts w:ascii="Times New Roman" w:hAnsi="Times New Roman"/>
          <w:noProof/>
          <w:sz w:val="24"/>
          <w:szCs w:val="24"/>
          <w:lang w:eastAsia="ru-RU"/>
        </w:rPr>
        <w:t>го</w:t>
      </w:r>
      <w:r w:rsidR="00D30A39" w:rsidRPr="00C81A64">
        <w:rPr>
          <w:rFonts w:ascii="Times New Roman" w:hAnsi="Times New Roman"/>
          <w:noProof/>
          <w:sz w:val="24"/>
          <w:szCs w:val="24"/>
          <w:lang w:eastAsia="ru-RU"/>
        </w:rPr>
        <w:t xml:space="preserve"> в пункте 2.1. под соответствующим лотом Положения о порядке, сроках и условиях реализации имущества </w:t>
      </w:r>
      <w:r w:rsidR="00B06F38" w:rsidRPr="00FD03E9">
        <w:rPr>
          <w:rFonts w:ascii="Times New Roman" w:hAnsi="Times New Roman"/>
          <w:sz w:val="24"/>
          <w:szCs w:val="24"/>
        </w:rPr>
        <w:t xml:space="preserve">Открытого акционерного общества «Ярославский мукомольный завод №1 имени Я.Л. Грача» (150001, г. Ярославль, Портовая </w:t>
      </w:r>
      <w:proofErr w:type="spellStart"/>
      <w:r w:rsidR="00B06F38" w:rsidRPr="00FD03E9">
        <w:rPr>
          <w:rFonts w:ascii="Times New Roman" w:hAnsi="Times New Roman"/>
          <w:sz w:val="24"/>
          <w:szCs w:val="24"/>
        </w:rPr>
        <w:t>наб</w:t>
      </w:r>
      <w:proofErr w:type="spellEnd"/>
      <w:r w:rsidR="00B06F38" w:rsidRPr="00FD03E9">
        <w:rPr>
          <w:rFonts w:ascii="Times New Roman" w:hAnsi="Times New Roman"/>
          <w:sz w:val="24"/>
          <w:szCs w:val="24"/>
        </w:rPr>
        <w:t>., д. 16, ИНН/ОГРН 7604007700/1027600681118</w:t>
      </w:r>
      <w:r w:rsidR="00B06F38">
        <w:rPr>
          <w:rFonts w:ascii="Times New Roman" w:hAnsi="Times New Roman"/>
          <w:sz w:val="24"/>
          <w:szCs w:val="24"/>
        </w:rPr>
        <w:t>)</w:t>
      </w:r>
      <w:r w:rsidR="00D30A39" w:rsidRPr="00C81A64">
        <w:rPr>
          <w:rFonts w:ascii="Times New Roman" w:hAnsi="Times New Roman"/>
          <w:noProof/>
          <w:sz w:val="24"/>
          <w:szCs w:val="24"/>
          <w:lang w:eastAsia="ru-RU"/>
        </w:rPr>
        <w:t>, являющегося предметом залога</w:t>
      </w:r>
      <w:proofErr w:type="gramEnd"/>
      <w:r w:rsidR="00D30A39" w:rsidRPr="00C81A64">
        <w:rPr>
          <w:rFonts w:ascii="Times New Roman" w:hAnsi="Times New Roman"/>
          <w:noProof/>
          <w:sz w:val="24"/>
          <w:szCs w:val="24"/>
          <w:lang w:eastAsia="ru-RU"/>
        </w:rPr>
        <w:t xml:space="preserve"> по обязательствам </w:t>
      </w:r>
      <w:r w:rsidR="00B06F38">
        <w:rPr>
          <w:rFonts w:ascii="Times New Roman" w:hAnsi="Times New Roman"/>
          <w:noProof/>
          <w:sz w:val="24"/>
          <w:szCs w:val="24"/>
          <w:lang w:eastAsia="ru-RU"/>
        </w:rPr>
        <w:t xml:space="preserve">перед </w:t>
      </w:r>
      <w:r w:rsidR="00D30A39" w:rsidRPr="00C81A64">
        <w:rPr>
          <w:rFonts w:ascii="Times New Roman" w:hAnsi="Times New Roman"/>
          <w:noProof/>
          <w:sz w:val="24"/>
          <w:szCs w:val="24"/>
          <w:lang w:eastAsia="ru-RU"/>
        </w:rPr>
        <w:t xml:space="preserve">ПАО </w:t>
      </w:r>
      <w:r w:rsidR="00B06F38">
        <w:rPr>
          <w:rFonts w:ascii="Times New Roman" w:hAnsi="Times New Roman"/>
          <w:noProof/>
          <w:sz w:val="24"/>
          <w:szCs w:val="24"/>
          <w:lang w:eastAsia="ru-RU"/>
        </w:rPr>
        <w:t>«</w:t>
      </w:r>
      <w:r w:rsidR="00D30A39" w:rsidRPr="00C81A64">
        <w:rPr>
          <w:rFonts w:ascii="Times New Roman" w:hAnsi="Times New Roman"/>
          <w:noProof/>
          <w:sz w:val="24"/>
          <w:szCs w:val="24"/>
          <w:lang w:eastAsia="ru-RU"/>
        </w:rPr>
        <w:t>Сбербанк</w:t>
      </w:r>
      <w:r w:rsidR="00B06F38">
        <w:rPr>
          <w:rFonts w:ascii="Times New Roman" w:hAnsi="Times New Roman"/>
          <w:noProof/>
          <w:sz w:val="24"/>
          <w:szCs w:val="24"/>
          <w:lang w:eastAsia="ru-RU"/>
        </w:rPr>
        <w:t>»</w:t>
      </w:r>
      <w:r w:rsidR="00D30A39" w:rsidRPr="00C81A64">
        <w:rPr>
          <w:rFonts w:ascii="Times New Roman" w:hAnsi="Times New Roman"/>
          <w:noProof/>
          <w:sz w:val="24"/>
          <w:szCs w:val="24"/>
          <w:lang w:eastAsia="ru-RU"/>
        </w:rPr>
        <w:t>:</w:t>
      </w:r>
    </w:p>
    <w:p w:rsidR="00B06F38" w:rsidRPr="001F1C50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Лот 1:</w:t>
      </w:r>
    </w:p>
    <w:p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1) Нежилое здание; назначение: нежилое, 9-этажное, в том числе подземных - 1, общая площадь 3 367,5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А, А1, А2, А3, А4, А5, А6, А7, А8; инв. № 12999; кадастровый номер 76:23:010101:10105;</w:t>
      </w:r>
    </w:p>
    <w:p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2) Здание пожарного депо; назначение: нежилое, общая площадь 91 кв.м., адрес: г. Ярославль, Портовая наб.;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Д; инв. № 12999; кадастровый номер 76:23:010101:10420;</w:t>
      </w:r>
    </w:p>
    <w:p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3) Гараж; назначение: нежилое, 1-этажный, общая площадь 316,6 кв.м., адрес: г. Ярославль, Портовая наб.;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З, З1, З2; инв. № 12999; кадастровый номер 76:23:010101:10118;</w:t>
      </w:r>
    </w:p>
    <w:p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4) Нежилое здание; назначение: нежилое, 2-этажное, общая площадь 514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И, И1, И2, И3; инв. № 12999; кадастровый номер 76:23:061322:57;</w:t>
      </w:r>
    </w:p>
    <w:p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5) Нежилое здание; назначение: нежилое, 7-этажное, общая площадь 2 260,2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Л, Л1, Л2, Л3, Л4; инв. № 12999; кадастровый номер 76:23:061322:58;</w:t>
      </w:r>
    </w:p>
    <w:p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6) Склад; назначение: нежилое, 1-этажное, общая площадь 2 126,10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Н; инв. № 12999; кадастровый номер 76:23:010101:10446;</w:t>
      </w:r>
    </w:p>
    <w:p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7) Зерновой склад № 5; назначение: нежилое, 1-этажное, общая площадь 1 006,6 кв.м., адрес: г. Ярославль, Портовая наб., д. 16; лит. </w:t>
      </w: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О, О1; инв. № 12999; кадастровый номер 76:23:010101:10445;</w:t>
      </w:r>
      <w:proofErr w:type="gramEnd"/>
    </w:p>
    <w:p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8) Склад красок; назначение: нежилое, 1-этажное, общая площадь 15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П; инв. № 12999; кадастровый номер 76:23:010101:10117;</w:t>
      </w:r>
    </w:p>
    <w:p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9) Склад; назначение: нежилое, 1-этажное, общая площадь 1 932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Р, Р1; инв. № 12999; кадастровый номер 76:23:010101:10106;</w:t>
      </w:r>
    </w:p>
    <w:p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10) Нежилое здание (весовая будка); назначение: нежилое, 1-этажное, общая площадь 6,90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С; инв. № 12999; кадастровый номер 76:23:010101:10421;</w:t>
      </w:r>
    </w:p>
    <w:p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11) Здание склада тары и материалов на территории завода; назначение: нежилое, 1-этажное, общая площадь 34,6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Т; </w:t>
      </w:r>
      <w:r w:rsidRPr="00FD03E9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инв. № 12999; кадастровый номер 76:23:010101:10119;</w:t>
      </w:r>
    </w:p>
    <w:p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12) Трансформаторная подстанция; назначение: нежилое, 2-этажное, в том числе подземных - 1, общая площадь 74,2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Ф; инв. № 12999; кадастровый номер 76:23:010101:10457;</w:t>
      </w:r>
    </w:p>
    <w:p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13) Мазутные емкости; назначение: нежилое, 3-этажное, в том числе подземных - 1, общая площадь 24,7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Ц; инв. № 12999; кадастровый номер 76:23:010101:10435;</w:t>
      </w:r>
    </w:p>
    <w:p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14) Здание весовой будки, весы автомобильные; общая площадь 74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Ш, Ш1; инв. № 12999; кадастровый номер 76:23:010101:10458;</w:t>
      </w:r>
    </w:p>
    <w:p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15) Склад инвентаря; назначение: нежилое, 1-этажное, общая площадь 274,5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У; инв. № 12999; кадастровый номер 76:23:010101:10422;</w:t>
      </w:r>
    </w:p>
    <w:p w:rsidR="00B06F38" w:rsidRPr="00FD03E9" w:rsidRDefault="00B06F38" w:rsidP="00B06F38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noProof/>
          <w:sz w:val="24"/>
          <w:szCs w:val="24"/>
          <w:lang w:eastAsia="ru-RU"/>
        </w:rPr>
        <w:t>16) Земельный участок для эксплуатации промышленных строений; категория земель: земли населенных пунктов, общая площадь 22 655 кв.м., адрес: г. Ярославль, Портовая наб., д. 16; инв. № 12999; кадастровый номер 76:23:061322:12.</w:t>
      </w:r>
    </w:p>
    <w:p w:rsidR="00780C6B" w:rsidRPr="0097531F" w:rsidRDefault="00780C6B" w:rsidP="00D30A39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7531F">
        <w:rPr>
          <w:rFonts w:ascii="Times New Roman" w:hAnsi="Times New Roman"/>
          <w:bCs/>
          <w:sz w:val="24"/>
          <w:szCs w:val="24"/>
        </w:rPr>
        <w:t xml:space="preserve">     </w:t>
      </w:r>
    </w:p>
    <w:p w:rsidR="00780C6B" w:rsidRDefault="00780C6B" w:rsidP="00291B63">
      <w:pPr>
        <w:tabs>
          <w:tab w:val="left" w:pos="142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C6B" w:rsidRDefault="00291B63" w:rsidP="00291B63">
      <w:pPr>
        <w:tabs>
          <w:tab w:val="left" w:pos="142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перечисляет  денежные  средства в размере</w:t>
      </w:r>
    </w:p>
    <w:p w:rsidR="00291B63" w:rsidRPr="00587BDB" w:rsidRDefault="00291B63" w:rsidP="00291B63">
      <w:pPr>
        <w:tabs>
          <w:tab w:val="left" w:pos="142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r w:rsidR="00780C6B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="00780C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следующий</w:t>
      </w:r>
      <w:r w:rsidR="00780C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расчетный счет</w:t>
      </w:r>
      <w:r w:rsidRPr="00587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Организатора торгов</w:t>
      </w:r>
      <w:r w:rsidR="00B06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реквизитам, указанным на электронной торговой площадке </w:t>
      </w:r>
      <w:r w:rsidR="00B06F38" w:rsidRPr="00B06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АО «Российский аукционный дом» (190000,г. СПб, </w:t>
      </w:r>
      <w:proofErr w:type="spellStart"/>
      <w:r w:rsidR="00B06F38" w:rsidRPr="00B06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</w:t>
      </w:r>
      <w:proofErr w:type="gramStart"/>
      <w:r w:rsidR="00B06F38" w:rsidRPr="00B06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.Г</w:t>
      </w:r>
      <w:proofErr w:type="gramEnd"/>
      <w:r w:rsidR="00B06F38" w:rsidRPr="00B06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ривцова</w:t>
      </w:r>
      <w:proofErr w:type="spellEnd"/>
      <w:r w:rsidR="00B06F38" w:rsidRPr="00B06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д. 5, лит. </w:t>
      </w:r>
      <w:proofErr w:type="gramStart"/>
      <w:r w:rsidR="00B06F38" w:rsidRPr="00B06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В, </w:t>
      </w:r>
      <w:proofErr w:type="spellStart"/>
      <w:r w:rsidR="00B06F38" w:rsidRPr="00B06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www.lot-online.ru</w:t>
      </w:r>
      <w:proofErr w:type="spellEnd"/>
      <w:r w:rsidR="00B06F38" w:rsidRPr="00B06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587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proofErr w:type="gramEnd"/>
    </w:p>
    <w:p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2. Задаток должен поступить на </w:t>
      </w:r>
      <w:r w:rsidR="00023F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счет</w:t>
      </w:r>
      <w:r w:rsidRPr="00587B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Организатора </w:t>
      </w:r>
      <w:proofErr w:type="gramStart"/>
      <w:r w:rsidRPr="00587B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торгов</w:t>
      </w:r>
      <w:proofErr w:type="gramEnd"/>
      <w:r w:rsidRPr="00587B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момент </w:t>
      </w:r>
      <w:r w:rsidR="00D30A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определения участков торгов</w:t>
      </w:r>
      <w:r w:rsidRPr="00587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считается внесенным с даты поступления всей суммы на один из указанных счетов.</w:t>
      </w:r>
    </w:p>
    <w:p w:rsidR="00291B63" w:rsidRPr="00587BDB" w:rsidRDefault="00291B63" w:rsidP="00291B6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момент подачи заявки, Претендент не допускается к участию в торгах посредством публичного предложения.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служит обеспечением исполнения обязательств Победителя торгов по заключению договора купли-продажи по итогам торгов, оплате цены продажи Объекта, определенной по итогам торгов. </w:t>
      </w:r>
      <w:r w:rsidRPr="00587B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291B63" w:rsidRPr="00587BDB" w:rsidRDefault="00291B63" w:rsidP="00291B6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наименование лота, характеристику Объекта.</w:t>
      </w:r>
    </w:p>
    <w:p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291B63" w:rsidRPr="00587BDB" w:rsidRDefault="00291B63" w:rsidP="00291B6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7.1.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 посредством публичного предложения.</w:t>
      </w:r>
    </w:p>
    <w:p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 xml:space="preserve">7.2. Внесенный Задаток не возвращается в случае, если Претендент, признанный победителем торгов, уклонится/откажется от подписания договора купли-продажи, от </w:t>
      </w: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внесения в установленный срок цены продажи Объекта, определенной по итогам торгов (за вычетом ранее внесенного Задатка). </w:t>
      </w:r>
    </w:p>
    <w:p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7.3.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291B63" w:rsidRPr="00587BDB" w:rsidRDefault="00291B63" w:rsidP="00291B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sz w:val="24"/>
          <w:szCs w:val="24"/>
          <w:lang w:eastAsia="ru-RU"/>
        </w:rPr>
        <w:t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291B63" w:rsidRPr="00587BDB" w:rsidRDefault="00291B63" w:rsidP="00291B6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1B63" w:rsidRPr="00587BDB" w:rsidRDefault="00291B63" w:rsidP="00291B63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7B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сторон:</w:t>
      </w:r>
    </w:p>
    <w:p w:rsidR="00291B63" w:rsidRPr="00587BDB" w:rsidRDefault="00291B63" w:rsidP="00291B63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25" w:type="dxa"/>
        <w:tblLayout w:type="fixed"/>
        <w:tblLook w:val="04A0"/>
      </w:tblPr>
      <w:tblGrid>
        <w:gridCol w:w="4988"/>
        <w:gridCol w:w="563"/>
        <w:gridCol w:w="4274"/>
      </w:tblGrid>
      <w:tr w:rsidR="00291B63" w:rsidRPr="00587BDB" w:rsidTr="00023F8C">
        <w:trPr>
          <w:trHeight w:val="2078"/>
        </w:trPr>
        <w:tc>
          <w:tcPr>
            <w:tcW w:w="4987" w:type="dxa"/>
          </w:tcPr>
          <w:p w:rsidR="00291B63" w:rsidRPr="00587BDB" w:rsidRDefault="00291B63" w:rsidP="00DD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7B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 ТОРГОВ:</w:t>
            </w:r>
          </w:p>
          <w:p w:rsidR="00B06F38" w:rsidRPr="00FD03E9" w:rsidRDefault="00B06F38" w:rsidP="00B06F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FD03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Ходько</w:t>
            </w:r>
            <w:proofErr w:type="spellEnd"/>
            <w:r w:rsidRPr="00FD03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Никита Юрьевич </w:t>
            </w:r>
          </w:p>
          <w:p w:rsidR="00B06F38" w:rsidRDefault="00B06F38" w:rsidP="00B06F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03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ИНН 420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540434197, СНИЛС 121-996-464-82</w:t>
            </w:r>
            <w:r w:rsidRPr="00FD03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291B63" w:rsidRPr="00587BDB" w:rsidRDefault="00B06F38" w:rsidP="00B06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3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Адрес конкурсного управляющего: 199034, Санкт-Петербург, а/я 48</w:t>
            </w:r>
          </w:p>
        </w:tc>
        <w:tc>
          <w:tcPr>
            <w:tcW w:w="563" w:type="dxa"/>
          </w:tcPr>
          <w:p w:rsidR="00291B63" w:rsidRPr="00587BDB" w:rsidRDefault="00291B63" w:rsidP="00DD0BD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</w:tcPr>
          <w:p w:rsidR="00291B63" w:rsidRPr="00587BDB" w:rsidRDefault="00291B63" w:rsidP="00DD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7B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587B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ПРЕТЕНДЕНТ:</w:t>
            </w:r>
          </w:p>
          <w:p w:rsidR="00291B63" w:rsidRPr="00587BDB" w:rsidRDefault="00291B63" w:rsidP="00DD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7B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291B63" w:rsidRPr="00587BDB" w:rsidRDefault="00291B63" w:rsidP="00DD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B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291B63" w:rsidRPr="00587BDB" w:rsidRDefault="00291B63" w:rsidP="00DD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B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291B63" w:rsidRPr="00587BDB" w:rsidRDefault="00291B63" w:rsidP="00DD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B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291B63" w:rsidRPr="00587BDB" w:rsidRDefault="00291B63" w:rsidP="00DD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B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291B63" w:rsidRPr="00587BDB" w:rsidRDefault="00291B63" w:rsidP="00DD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B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291B63" w:rsidRPr="00587BDB" w:rsidRDefault="00291B63" w:rsidP="00DD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B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291B63" w:rsidRPr="00587BDB" w:rsidRDefault="00291B63" w:rsidP="00DD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342C" w:rsidRDefault="00A81496" w:rsidP="00023F8C"/>
    <w:sectPr w:rsidR="00AC342C" w:rsidSect="003D0A5E">
      <w:headerReference w:type="default" r:id="rId7"/>
      <w:pgSz w:w="11906" w:h="16838"/>
      <w:pgMar w:top="709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496" w:rsidRDefault="00A81496" w:rsidP="003D0A5E">
      <w:pPr>
        <w:spacing w:after="0" w:line="240" w:lineRule="auto"/>
      </w:pPr>
      <w:r>
        <w:separator/>
      </w:r>
    </w:p>
  </w:endnote>
  <w:endnote w:type="continuationSeparator" w:id="0">
    <w:p w:rsidR="00A81496" w:rsidRDefault="00A81496" w:rsidP="003D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496" w:rsidRDefault="00A81496" w:rsidP="003D0A5E">
      <w:pPr>
        <w:spacing w:after="0" w:line="240" w:lineRule="auto"/>
      </w:pPr>
      <w:r>
        <w:separator/>
      </w:r>
    </w:p>
  </w:footnote>
  <w:footnote w:type="continuationSeparator" w:id="0">
    <w:p w:rsidR="00A81496" w:rsidRDefault="00A81496" w:rsidP="003D0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A5E" w:rsidRDefault="003D0A5E" w:rsidP="003D0A5E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03ED"/>
    <w:multiLevelType w:val="hybridMultilevel"/>
    <w:tmpl w:val="49A6F2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972"/>
    <w:rsid w:val="00023F8C"/>
    <w:rsid w:val="00071FBE"/>
    <w:rsid w:val="0009197E"/>
    <w:rsid w:val="000E6706"/>
    <w:rsid w:val="001A1972"/>
    <w:rsid w:val="001F2204"/>
    <w:rsid w:val="00291B63"/>
    <w:rsid w:val="002B24EA"/>
    <w:rsid w:val="00320277"/>
    <w:rsid w:val="00377AAB"/>
    <w:rsid w:val="003C404E"/>
    <w:rsid w:val="003D0A5E"/>
    <w:rsid w:val="004C3C74"/>
    <w:rsid w:val="005E1AAE"/>
    <w:rsid w:val="006D14D6"/>
    <w:rsid w:val="006D5387"/>
    <w:rsid w:val="006E2E21"/>
    <w:rsid w:val="00721E87"/>
    <w:rsid w:val="00774543"/>
    <w:rsid w:val="00780C6B"/>
    <w:rsid w:val="007B1848"/>
    <w:rsid w:val="007E7FB6"/>
    <w:rsid w:val="0081737D"/>
    <w:rsid w:val="00A81496"/>
    <w:rsid w:val="00B06F38"/>
    <w:rsid w:val="00BC130C"/>
    <w:rsid w:val="00BE3A29"/>
    <w:rsid w:val="00C05014"/>
    <w:rsid w:val="00D30A39"/>
    <w:rsid w:val="00EB71A9"/>
    <w:rsid w:val="00F0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40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D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0A5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D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0A5E"/>
    <w:rPr>
      <w:rFonts w:ascii="Calibri" w:eastAsia="Calibri" w:hAnsi="Calibri" w:cs="Times New Roman"/>
    </w:rPr>
  </w:style>
  <w:style w:type="character" w:customStyle="1" w:styleId="a8">
    <w:name w:val="Основной текст + Полужирный"/>
    <w:basedOn w:val="a0"/>
    <w:rsid w:val="00B06F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YxRcsOZkuWQOrpPytatbfU2jioeJ9HhEKQlGrQbfc4c=</DigestValue>
    </Reference>
    <Reference Type="http://www.w3.org/2000/09/xmldsig#Object" URI="#idOfficeObject">
      <DigestMethod Algorithm="urn:ietf:params:xml:ns:cpxmlsec:algorithms:gostr3411"/>
      <DigestValue>nQbBchQQEHNViUOM2Fm48vlVyZZrTDCZFwutbfWUM44=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M+KjH76t2aoAYnqrjnIM0IdK7KjkxEVj/PrK+vhAIfk=</DigestValue>
    </Reference>
  </SignedInfo>
  <SignatureValue>dCW3rM0FCUOjCEwLfELOpt8s72AgteX2JUHj34KMm5c5q7CMsLkZKD0SCckkRlRS
oSZdQOZTba7ehioeRDjWSg==</SignatureValue>
  <KeyInfo>
    <X509Data>
      <X509Certificate>MIIJhTCCCTSgAwIBAgIRAK9j4HrEDMmA6BEQgdKiLQ0wCAYGKoUDAgIDMIIBcTEe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kNCeICLQn9CkICLQodCa0JEg0JrQvtC90YLRg9GAIjAeFw0xODA3MDYxMTIxMDFa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Aa/4tTW5Lww6t3NlzhMxAnmRpgg=</DigestValue>
      </Reference>
      <Reference URI="/word/endnotes.xml?ContentType=application/vnd.openxmlformats-officedocument.wordprocessingml.endnotes+xml">
        <DigestMethod Algorithm="http://www.w3.org/2000/09/xmldsig#sha1"/>
        <DigestValue>4VxdxdmYWsGvy+NzBrr3eGK33bw=</DigestValue>
      </Reference>
      <Reference URI="/word/fontTable.xml?ContentType=application/vnd.openxmlformats-officedocument.wordprocessingml.fontTable+xml">
        <DigestMethod Algorithm="http://www.w3.org/2000/09/xmldsig#sha1"/>
        <DigestValue>UyTPMVMCrKypksPixJ/SyLLqvQs=</DigestValue>
      </Reference>
      <Reference URI="/word/footnotes.xml?ContentType=application/vnd.openxmlformats-officedocument.wordprocessingml.footnotes+xml">
        <DigestMethod Algorithm="http://www.w3.org/2000/09/xmldsig#sha1"/>
        <DigestValue>DMPz9GoBIMoYRDWEbdaChpPrifQ=</DigestValue>
      </Reference>
      <Reference URI="/word/header1.xml?ContentType=application/vnd.openxmlformats-officedocument.wordprocessingml.header+xml">
        <DigestMethod Algorithm="http://www.w3.org/2000/09/xmldsig#sha1"/>
        <DigestValue>e5XcsHKOSu4UR3czv6c4vEUiy1Y=</DigestValue>
      </Reference>
      <Reference URI="/word/numbering.xml?ContentType=application/vnd.openxmlformats-officedocument.wordprocessingml.numbering+xml">
        <DigestMethod Algorithm="http://www.w3.org/2000/09/xmldsig#sha1"/>
        <DigestValue>sCBixDArmXZy7VEPFmqOgS2Yta8=</DigestValue>
      </Reference>
      <Reference URI="/word/settings.xml?ContentType=application/vnd.openxmlformats-officedocument.wordprocessingml.settings+xml">
        <DigestMethod Algorithm="http://www.w3.org/2000/09/xmldsig#sha1"/>
        <DigestValue>K85KIBsUJM71i9mUv7ArLMOVcZw=</DigestValue>
      </Reference>
      <Reference URI="/word/styles.xml?ContentType=application/vnd.openxmlformats-officedocument.wordprocessingml.styles+xml">
        <DigestMethod Algorithm="http://www.w3.org/2000/09/xmldsig#sha1"/>
        <DigestValue>j8Vc9cq5hvXrLa7mofjImzX+rfA=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2019-03-26T14:35:32Z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16.0.11328/16</OfficeVersion>
          <ApplicationVersion>16.0.11328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2019-03-26T14:35:32Z</xd:SigningTime>
          <xd:SigningCertificate>
            <xd:Cert>
              <xd:CertDigest>
                <DigestMethod Algorithm="http://www.w3.org/2000/09/xmldsig#sha1"/>
                <DigestValue>yQLtb0/wWG0cpppjOGdLYn6s/R0=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233133489637616791016202377577141251341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pk14</cp:lastModifiedBy>
  <cp:revision>16</cp:revision>
  <dcterms:created xsi:type="dcterms:W3CDTF">2014-12-15T11:34:00Z</dcterms:created>
  <dcterms:modified xsi:type="dcterms:W3CDTF">2019-03-20T12:25:00Z</dcterms:modified>
</cp:coreProperties>
</file>