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F" w:rsidRDefault="00126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0473CF" w:rsidRDefault="000473CF">
      <w:pPr>
        <w:jc w:val="center"/>
        <w:rPr>
          <w:sz w:val="24"/>
          <w:szCs w:val="24"/>
        </w:rPr>
      </w:pPr>
    </w:p>
    <w:p w:rsidR="000473CF" w:rsidRDefault="00774AFB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E20">
        <w:rPr>
          <w:sz w:val="24"/>
          <w:szCs w:val="24"/>
        </w:rPr>
        <w:t xml:space="preserve">                                      </w:t>
      </w:r>
      <w:r w:rsidR="00DF2BC6">
        <w:rPr>
          <w:sz w:val="24"/>
          <w:szCs w:val="24"/>
        </w:rPr>
        <w:t xml:space="preserve">         «_____»___________ 2019</w:t>
      </w:r>
      <w:r w:rsidR="00126E20">
        <w:rPr>
          <w:sz w:val="24"/>
          <w:szCs w:val="24"/>
        </w:rPr>
        <w:t xml:space="preserve"> г.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7">
        <w:r>
          <w:rPr>
            <w:b/>
            <w:sz w:val="24"/>
            <w:szCs w:val="24"/>
            <w:u w:val="single"/>
          </w:rPr>
          <w:t>info@vargi.org</w:t>
        </w:r>
      </w:hyperlink>
      <w:r>
        <w:rPr>
          <w:b/>
          <w:sz w:val="24"/>
          <w:szCs w:val="24"/>
        </w:rPr>
        <w:t xml:space="preserve">, тел. 8(495)6423825) в лице Генерального директора Головниковой Т.Д., по поручению </w:t>
      </w:r>
      <w:r w:rsidR="00774AFB">
        <w:rPr>
          <w:b/>
          <w:sz w:val="24"/>
          <w:szCs w:val="24"/>
        </w:rPr>
        <w:t xml:space="preserve">Конкурсного управляющего </w:t>
      </w:r>
      <w:r w:rsidR="00875C54">
        <w:rPr>
          <w:b/>
          <w:sz w:val="24"/>
          <w:szCs w:val="24"/>
        </w:rPr>
        <w:t>Фетисова Андрея Валерьевича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и___________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______________________________________________________________________________________________________________________________________________, именуем___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с другой стороны, совместно именуемые «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договор о нижеследующем: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для участия в открытых электронных торгах по продаже имущества  </w:t>
      </w:r>
      <w:r w:rsidR="00875C54" w:rsidRPr="00875C54">
        <w:rPr>
          <w:sz w:val="24"/>
          <w:szCs w:val="24"/>
        </w:rPr>
        <w:t>акционерного общества «Еврострой» (141986, Московская обл., г.Дубна, ул.Ак.Б.М.Понтекорво, д.19, пом.5,6,7,8, ИНН 7709205579, ОГРН 1027739861489, конкурсное производство введено  Решением Арбитражного суда Московской области от 19.01.2018 по делу № А41-92414/17 (резолютивная часть объявлена 11.01.2018)</w:t>
      </w:r>
      <w:r>
        <w:rPr>
          <w:sz w:val="24"/>
          <w:szCs w:val="24"/>
        </w:rPr>
        <w:t>, проводимых в форме _______ на электронной торговой площадке «Российский аукционный дом» по адресу в сети Интернет http://www.lot-online.ru, торговая процедура № _</w:t>
      </w:r>
      <w:r w:rsidR="00997AA0">
        <w:rPr>
          <w:sz w:val="24"/>
          <w:szCs w:val="24"/>
        </w:rPr>
        <w:t>____, вносит задато</w:t>
      </w:r>
      <w:r w:rsidR="00DF2BC6">
        <w:rPr>
          <w:sz w:val="24"/>
          <w:szCs w:val="24"/>
        </w:rPr>
        <w:t>к в размере 2</w:t>
      </w:r>
      <w:r>
        <w:rPr>
          <w:sz w:val="24"/>
          <w:szCs w:val="24"/>
        </w:rPr>
        <w:t xml:space="preserve">0% от начальной цены продажи имущества или _______ (___________) рублей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</w:t>
      </w:r>
      <w:r w:rsidR="00875C54">
        <w:rPr>
          <w:sz w:val="24"/>
          <w:szCs w:val="24"/>
        </w:rPr>
        <w:t>АО «Еврострой»</w:t>
      </w:r>
      <w:bookmarkStart w:id="0" w:name="_GoBack"/>
      <w:bookmarkEnd w:id="0"/>
      <w:r>
        <w:rPr>
          <w:sz w:val="24"/>
          <w:szCs w:val="24"/>
        </w:rPr>
        <w:t xml:space="preserve">, а 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принимает его.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Должника</w:t>
      </w:r>
      <w:r>
        <w:rPr>
          <w:b/>
          <w:sz w:val="24"/>
          <w:szCs w:val="24"/>
        </w:rPr>
        <w:t xml:space="preserve"> .»</w:t>
      </w:r>
      <w:r>
        <w:rPr>
          <w:sz w:val="24"/>
          <w:szCs w:val="24"/>
        </w:rPr>
        <w:t>.</w:t>
      </w:r>
    </w:p>
    <w:p w:rsidR="000473CF" w:rsidRDefault="000473CF">
      <w:pPr>
        <w:jc w:val="both"/>
        <w:rPr>
          <w:b/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внесения, возврата и удержания задатка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Задаток перечисляется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течение всего срока приема заявок на участие в торгах по продаже имущества </w:t>
      </w:r>
      <w:r>
        <w:rPr>
          <w:b/>
          <w:sz w:val="24"/>
          <w:szCs w:val="24"/>
        </w:rPr>
        <w:t>Должника.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Задаток считается внесенным с момента его зачисления банком в полном объеме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, но не позднее даты и времени окончания приема заявок.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 на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Задаток возвращается </w:t>
      </w:r>
      <w:r>
        <w:rPr>
          <w:b/>
          <w:sz w:val="24"/>
          <w:szCs w:val="24"/>
        </w:rPr>
        <w:t>Заявителю</w:t>
      </w:r>
      <w:r>
        <w:rPr>
          <w:sz w:val="24"/>
          <w:szCs w:val="24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отзыве заявки до даты и времени окончания приема заявок;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Задаток возвращается всем </w:t>
      </w:r>
      <w:r>
        <w:rPr>
          <w:b/>
          <w:sz w:val="24"/>
          <w:szCs w:val="24"/>
        </w:rPr>
        <w:t>Заявителям</w:t>
      </w:r>
      <w:r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Другие условия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Реквизиты и подписи сторон </w:t>
      </w:r>
    </w:p>
    <w:p w:rsidR="000473CF" w:rsidRDefault="000473CF">
      <w:pPr>
        <w:jc w:val="both"/>
        <w:rPr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740"/>
      </w:tblGrid>
      <w:tr w:rsidR="000473CF">
        <w:tc>
          <w:tcPr>
            <w:tcW w:w="4605" w:type="dxa"/>
            <w:shd w:val="clear" w:color="auto" w:fill="auto"/>
          </w:tcPr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</w:tr>
      <w:tr w:rsidR="000473CF">
        <w:tc>
          <w:tcPr>
            <w:tcW w:w="4605" w:type="dxa"/>
            <w:shd w:val="clear" w:color="auto" w:fill="auto"/>
          </w:tcPr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«Варги Юниор»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7729506221, КПП 772901001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1047796258256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105062, г.Москва, а/я 75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 40702810202390003099</w:t>
            </w:r>
            <w:r>
              <w:rPr>
                <w:b/>
                <w:sz w:val="24"/>
                <w:szCs w:val="24"/>
              </w:rPr>
              <w:br/>
              <w:t>в банке: АО "АЛЬФА-БАНК" в г. Москва</w:t>
            </w:r>
            <w:r>
              <w:rPr>
                <w:b/>
                <w:sz w:val="24"/>
                <w:szCs w:val="24"/>
              </w:rPr>
              <w:br/>
              <w:t>к/с 30101810200000000593</w:t>
            </w:r>
            <w:r>
              <w:rPr>
                <w:b/>
                <w:sz w:val="24"/>
                <w:szCs w:val="24"/>
              </w:rPr>
              <w:br/>
              <w:t>БИК 044525593</w:t>
            </w:r>
            <w:r>
              <w:rPr>
                <w:b/>
                <w:sz w:val="24"/>
                <w:szCs w:val="24"/>
              </w:rPr>
              <w:br/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+7 (495) 642-38-25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_____________/Головникова Т.Д.</w:t>
            </w: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Уполномоченное лицо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/______________________/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73CF" w:rsidRDefault="000473CF">
      <w:pPr>
        <w:jc w:val="both"/>
        <w:rPr>
          <w:sz w:val="24"/>
          <w:szCs w:val="24"/>
        </w:rPr>
      </w:pPr>
    </w:p>
    <w:p w:rsidR="000473CF" w:rsidRDefault="000473CF">
      <w:pPr>
        <w:rPr>
          <w:b/>
          <w:sz w:val="24"/>
          <w:szCs w:val="24"/>
        </w:rPr>
      </w:pPr>
    </w:p>
    <w:sectPr w:rsidR="000473C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5C" w:rsidRDefault="0097045C">
      <w:r>
        <w:separator/>
      </w:r>
    </w:p>
  </w:endnote>
  <w:endnote w:type="continuationSeparator" w:id="0">
    <w:p w:rsidR="0097045C" w:rsidRDefault="009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b/>
        <w:color w:val="000000"/>
      </w:rPr>
    </w:pP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5C" w:rsidRDefault="0097045C">
      <w:r>
        <w:separator/>
      </w:r>
    </w:p>
  </w:footnote>
  <w:footnote w:type="continuationSeparator" w:id="0">
    <w:p w:rsidR="0097045C" w:rsidRDefault="0097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875C54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F5"/>
    <w:multiLevelType w:val="multilevel"/>
    <w:tmpl w:val="0BAAB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F"/>
    <w:rsid w:val="000473CF"/>
    <w:rsid w:val="00126E20"/>
    <w:rsid w:val="001C6A2A"/>
    <w:rsid w:val="00774AFB"/>
    <w:rsid w:val="00875C54"/>
    <w:rsid w:val="0097045C"/>
    <w:rsid w:val="00997AA0"/>
    <w:rsid w:val="009F1DC2"/>
    <w:rsid w:val="00C26C59"/>
    <w:rsid w:val="00D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722B"/>
  <w15:docId w15:val="{37664CA4-7F12-479E-9D4B-9EDDF40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g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</dc:creator>
  <cp:lastModifiedBy>Vargi</cp:lastModifiedBy>
  <cp:revision>5</cp:revision>
  <dcterms:created xsi:type="dcterms:W3CDTF">2018-12-26T11:54:00Z</dcterms:created>
  <dcterms:modified xsi:type="dcterms:W3CDTF">2019-04-30T09:03:00Z</dcterms:modified>
</cp:coreProperties>
</file>