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A55E9">
        <w:rPr>
          <w:sz w:val="28"/>
          <w:szCs w:val="28"/>
        </w:rPr>
        <w:t>90600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A55E9">
        <w:rPr>
          <w:rFonts w:ascii="Times New Roman" w:hAnsi="Times New Roman" w:cs="Times New Roman"/>
          <w:sz w:val="28"/>
          <w:szCs w:val="28"/>
        </w:rPr>
        <w:t>26.08.2019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05706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05706F" w:rsidRDefault="001A55E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5706F">
              <w:rPr>
                <w:sz w:val="28"/>
                <w:szCs w:val="28"/>
              </w:rPr>
              <w:t>Ахмедов Тельман Ибрагимович</w:t>
            </w:r>
            <w:r w:rsidR="00D342DA" w:rsidRPr="0005706F">
              <w:rPr>
                <w:sz w:val="28"/>
                <w:szCs w:val="28"/>
              </w:rPr>
              <w:t xml:space="preserve">, </w:t>
            </w:r>
          </w:p>
          <w:p w:rsidR="00D342DA" w:rsidRPr="0005706F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5706F">
              <w:rPr>
                <w:sz w:val="28"/>
                <w:szCs w:val="28"/>
              </w:rPr>
              <w:t xml:space="preserve">, ОГРН , ИНН </w:t>
            </w:r>
            <w:r w:rsidR="001A55E9" w:rsidRPr="0005706F">
              <w:rPr>
                <w:sz w:val="28"/>
                <w:szCs w:val="28"/>
              </w:rPr>
              <w:t>052901886647</w:t>
            </w:r>
            <w:r w:rsidRPr="0005706F">
              <w:rPr>
                <w:sz w:val="28"/>
                <w:szCs w:val="28"/>
              </w:rPr>
              <w:t>.</w:t>
            </w:r>
          </w:p>
          <w:p w:rsidR="00D342DA" w:rsidRPr="0005706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5706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A55E9" w:rsidRPr="0005706F" w:rsidRDefault="001A55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05706F" w:rsidRDefault="001A55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05706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5706F" w:rsidRDefault="001A55E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5706F">
              <w:rPr>
                <w:sz w:val="28"/>
                <w:szCs w:val="28"/>
              </w:rPr>
              <w:t>Арбитражный суд Республики Карелия</w:t>
            </w:r>
            <w:r w:rsidR="00D342DA" w:rsidRPr="0005706F">
              <w:rPr>
                <w:sz w:val="28"/>
                <w:szCs w:val="28"/>
              </w:rPr>
              <w:t xml:space="preserve">, дело о банкротстве </w:t>
            </w:r>
            <w:r w:rsidRPr="0005706F">
              <w:rPr>
                <w:sz w:val="28"/>
                <w:szCs w:val="28"/>
              </w:rPr>
              <w:t>А26-222/2016</w:t>
            </w:r>
          </w:p>
        </w:tc>
      </w:tr>
      <w:tr w:rsidR="00D342DA" w:rsidRPr="0005706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5706F" w:rsidRDefault="001A55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10.03.2017</w:t>
            </w:r>
            <w:r w:rsidR="00D342DA"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1A55E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 доля в праве на помещение, назначение  нежилое, административное, общей площадью 460,2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2,3, номера на поэтажном плане: 2 этаж 14-32, 3 этаж 1-21, расположенное по адресу: Республика Карелия, Суоярвский р-н,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Суоярви, ул. Ленина, д. 37, помещение 4, кадастровый номер 10:16:0010525:375; 17/100 долей в праве на земельный участок, категории земель  земли населенных пунктов, кадастровый номер 10:16:010525:12.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55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A55E9">
              <w:rPr>
                <w:sz w:val="28"/>
                <w:szCs w:val="28"/>
              </w:rPr>
              <w:t>15.07.2019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A55E9">
              <w:rPr>
                <w:sz w:val="28"/>
                <w:szCs w:val="28"/>
              </w:rPr>
              <w:t>16.08.2019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55E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5706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A55E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A55E9" w:rsidRDefault="001A55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600 000.00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5706F" w:rsidRDefault="001A55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70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претенденты должны заключить с организатором торгов договор о задатке и перечислить задаток в 10% начальной цены торгов не позже дня окончания приема заявок</w:t>
            </w:r>
            <w:r w:rsidR="00D342DA" w:rsidRPr="000570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05706F" w:rsidRDefault="001A55E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5706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Ахмедов Тельман Ибрагимович: №40817810621510000638 в ПАО «Россельхозбанк», к/с 30101810300000000818, БИК 048602818, ИНН 7725114488.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A55E9" w:rsidRDefault="001A55E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6 000 000.00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A55E9" w:rsidRDefault="001A55E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300 000.00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5706F" w:rsidRDefault="001A55E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55E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ЭТП "Российский Аукционный дом"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55E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5706F" w:rsidRDefault="001A55E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в течение 30 дней со дня подписания договора перечислением денежных средств на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A55E9"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55E9"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A55E9" w:rsidRPr="0005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1A55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1A55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1A55E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</w:t>
            </w:r>
            <w:r w:rsidRPr="001D2D62">
              <w:rPr>
                <w:sz w:val="28"/>
                <w:szCs w:val="28"/>
              </w:rPr>
              <w:lastRenderedPageBreak/>
              <w:t>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A55E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09.07.2019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5706F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A55E9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5676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2019-07-09T10:24:00Z</dcterms:created>
  <dcterms:modified xsi:type="dcterms:W3CDTF">2019-07-09T10:24:00Z</dcterms:modified>
</cp:coreProperties>
</file>