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3E" w:rsidRDefault="000C203E" w:rsidP="000C203E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Имущество ООО «Торг Профи</w:t>
      </w:r>
      <w:r w:rsidRPr="001E7320">
        <w:rPr>
          <w:rFonts w:ascii="Times New Roman" w:hAnsi="Times New Roman"/>
          <w:sz w:val="24"/>
          <w:szCs w:val="24"/>
          <w:lang w:eastAsia="ar-SA"/>
        </w:rPr>
        <w:t>» подлежащее продаже: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701"/>
        <w:gridCol w:w="1701"/>
      </w:tblGrid>
      <w:tr w:rsidR="000C203E" w:rsidRPr="009E66A6" w:rsidTr="00FD59CA">
        <w:trPr>
          <w:trHeight w:val="316"/>
          <w:tblHeader/>
        </w:trPr>
        <w:tc>
          <w:tcPr>
            <w:tcW w:w="1135" w:type="dxa"/>
            <w:vAlign w:val="center"/>
          </w:tcPr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Номер Лота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Состав Лота (Наименование, подробные характеристики, место нахождения Имущества)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Балансовая стоимость имущества</w:t>
            </w:r>
          </w:p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(без НДС)</w:t>
            </w:r>
          </w:p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(руб.)</w:t>
            </w:r>
          </w:p>
        </w:tc>
        <w:tc>
          <w:tcPr>
            <w:tcW w:w="1701" w:type="dxa"/>
            <w:vAlign w:val="center"/>
          </w:tcPr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Начальная продажная цена</w:t>
            </w:r>
          </w:p>
          <w:p w:rsidR="000C203E" w:rsidRPr="009E66A6" w:rsidRDefault="000C203E" w:rsidP="00FD59C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(без НДС) (руб.)</w:t>
            </w:r>
          </w:p>
        </w:tc>
      </w:tr>
      <w:tr w:rsidR="000C203E" w:rsidRPr="009E66A6" w:rsidTr="00FD59CA">
        <w:trPr>
          <w:trHeight w:val="20"/>
        </w:trPr>
        <w:tc>
          <w:tcPr>
            <w:tcW w:w="1135" w:type="dxa"/>
          </w:tcPr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  <w:highlight w:val="green"/>
              </w:rPr>
            </w:pPr>
            <w:r w:rsidRPr="009E66A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03E" w:rsidRPr="009E66A6" w:rsidRDefault="000C203E" w:rsidP="00FD59CA">
            <w:pPr>
              <w:spacing w:before="20" w:after="20"/>
              <w:ind w:right="-57"/>
              <w:jc w:val="both"/>
              <w:rPr>
                <w:rFonts w:ascii="Times New Roman" w:hAnsi="Times New Roman"/>
              </w:rPr>
            </w:pPr>
            <w:r w:rsidRPr="009E66A6">
              <w:rPr>
                <w:rFonts w:ascii="Times New Roman" w:hAnsi="Times New Roman"/>
              </w:rPr>
              <w:t xml:space="preserve">Имущественные права по Договору № Сх-1/ТП-28 от 09.11.2015 участия в долевом строительстве многоквартирного дома – 2-х секционный, 9-ти этажный 72-квартирный жилой дом, Корпус 1 жилого комплекса в составе 5-ти жилых домов с ДОУ и паркингом на 300 </w:t>
            </w:r>
            <w:proofErr w:type="spellStart"/>
            <w:r w:rsidRPr="009E66A6">
              <w:rPr>
                <w:rFonts w:ascii="Times New Roman" w:hAnsi="Times New Roman"/>
              </w:rPr>
              <w:t>машиномест</w:t>
            </w:r>
            <w:proofErr w:type="spellEnd"/>
            <w:r w:rsidRPr="009E66A6">
              <w:rPr>
                <w:rFonts w:ascii="Times New Roman" w:hAnsi="Times New Roman"/>
              </w:rPr>
              <w:t xml:space="preserve"> (1-я очередь строительства), расположенный по строительному адресу: Московская область, г. Химки, микрорайон Сходня, в районе домов 69, 77 (</w:t>
            </w:r>
            <w:proofErr w:type="gramStart"/>
            <w:r w:rsidRPr="009E66A6">
              <w:rPr>
                <w:rFonts w:ascii="Times New Roman" w:hAnsi="Times New Roman"/>
              </w:rPr>
              <w:t>а-ж</w:t>
            </w:r>
            <w:proofErr w:type="gramEnd"/>
            <w:r w:rsidRPr="009E66A6">
              <w:rPr>
                <w:rFonts w:ascii="Times New Roman" w:hAnsi="Times New Roman"/>
              </w:rPr>
              <w:t>) по улице Первомайская, заключенному между ООО "ТОРГ ПРОФИ" и ООО «ЗЕМИНЖКОНСАЛТ».</w:t>
            </w:r>
          </w:p>
          <w:p w:rsidR="000C203E" w:rsidRPr="009E66A6" w:rsidRDefault="000C203E" w:rsidP="00FD59CA">
            <w:pPr>
              <w:pStyle w:val="Bodytext20"/>
              <w:shd w:val="clear" w:color="auto" w:fill="auto"/>
              <w:tabs>
                <w:tab w:val="left" w:pos="778"/>
              </w:tabs>
              <w:spacing w:before="0" w:line="317" w:lineRule="exact"/>
              <w:ind w:firstLine="0"/>
            </w:pPr>
            <w:r w:rsidRPr="009E66A6">
              <w:t>Общая площадь 1567,37 кв. м.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701"/>
              <w:gridCol w:w="1275"/>
              <w:gridCol w:w="2014"/>
              <w:gridCol w:w="850"/>
            </w:tblGrid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Строительный № квартиры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Площадь (</w:t>
                  </w:r>
                  <w:proofErr w:type="spellStart"/>
                  <w:r w:rsidRPr="009E66A6">
                    <w:rPr>
                      <w:lang w:bidi="ru-RU"/>
                    </w:rPr>
                    <w:t>кв.м</w:t>
                  </w:r>
                  <w:proofErr w:type="spellEnd"/>
                  <w:r w:rsidRPr="009E66A6">
                    <w:rPr>
                      <w:lang w:bidi="ru-RU"/>
                    </w:rPr>
                    <w:t>.)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Кол-во комнат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Этаж</w:t>
                  </w:r>
                </w:p>
              </w:tc>
            </w:tr>
            <w:tr w:rsidR="000C203E" w:rsidRPr="009E66A6" w:rsidTr="00FD59CA">
              <w:tc>
                <w:tcPr>
                  <w:tcW w:w="6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 секция Многоквартирного дома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73,06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33,25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76,29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76,29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60,34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76,29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60,34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76,29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36,54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60,34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9</w:t>
                  </w:r>
                </w:p>
              </w:tc>
            </w:tr>
            <w:tr w:rsidR="000C203E" w:rsidRPr="009E66A6" w:rsidTr="00FD59CA">
              <w:tc>
                <w:tcPr>
                  <w:tcW w:w="6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 секция Многоквартирного дома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33,25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76,29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60,34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36,54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60,34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36,54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lastRenderedPageBreak/>
                    <w:t>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7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52,92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  <w:r w:rsidRPr="009E66A6">
                    <w:rPr>
                      <w:lang w:bidi="ru-RU"/>
                    </w:rPr>
                    <w:t>1567,37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03E" w:rsidRPr="009E66A6" w:rsidRDefault="000C203E" w:rsidP="00FD59CA">
                  <w:pPr>
                    <w:pStyle w:val="Bodytext20"/>
                    <w:shd w:val="clear" w:color="auto" w:fill="auto"/>
                    <w:tabs>
                      <w:tab w:val="left" w:pos="778"/>
                    </w:tabs>
                    <w:spacing w:before="0" w:line="317" w:lineRule="exact"/>
                    <w:ind w:firstLine="0"/>
                    <w:jc w:val="center"/>
                    <w:rPr>
                      <w:lang w:bidi="ru-RU"/>
                    </w:rPr>
                  </w:pPr>
                </w:p>
              </w:tc>
            </w:tr>
          </w:tbl>
          <w:p w:rsidR="000C203E" w:rsidRPr="009E66A6" w:rsidRDefault="000C203E" w:rsidP="00FD59CA">
            <w:pPr>
              <w:spacing w:before="20" w:after="20"/>
              <w:ind w:right="-57"/>
              <w:jc w:val="both"/>
              <w:rPr>
                <w:rFonts w:ascii="Times New Roman" w:eastAsia="Times New Roman" w:hAnsi="Times New Roman"/>
              </w:rPr>
            </w:pPr>
            <w:r w:rsidRPr="009E66A6">
              <w:rPr>
                <w:rFonts w:ascii="Times New Roman" w:eastAsia="Times New Roman" w:hAnsi="Times New Roman"/>
              </w:rPr>
              <w:t xml:space="preserve">Государственная регистрация Договора участия в долевом строительстве многоквартирного </w:t>
            </w:r>
            <w:proofErr w:type="gramStart"/>
            <w:r w:rsidRPr="009E66A6">
              <w:rPr>
                <w:rFonts w:ascii="Times New Roman" w:eastAsia="Times New Roman" w:hAnsi="Times New Roman"/>
              </w:rPr>
              <w:t>дома  №</w:t>
            </w:r>
            <w:proofErr w:type="gramEnd"/>
            <w:r w:rsidRPr="009E66A6">
              <w:rPr>
                <w:rFonts w:ascii="Times New Roman" w:eastAsia="Times New Roman" w:hAnsi="Times New Roman"/>
              </w:rPr>
              <w:t>Сх-1/ТП-28 от 09.11.2015г. осуществлена Управлением Федеральной службы государственной регистрации, кадастра и картографии по Московской области 17.11.2015г., номер государственной регистрации 50-50/041-50/041/003/2015-3880/1.</w:t>
            </w:r>
          </w:p>
          <w:p w:rsidR="000C203E" w:rsidRPr="009E66A6" w:rsidRDefault="000C203E" w:rsidP="00FD59CA">
            <w:pPr>
              <w:spacing w:before="20" w:after="20"/>
              <w:ind w:right="-57"/>
              <w:jc w:val="both"/>
              <w:rPr>
                <w:rFonts w:ascii="Times New Roman" w:eastAsia="Times New Roman" w:hAnsi="Times New Roman"/>
                <w:highlight w:val="green"/>
              </w:rPr>
            </w:pPr>
            <w:r w:rsidRPr="00A20E21">
              <w:rPr>
                <w:rFonts w:ascii="Times New Roman" w:eastAsia="Times New Roman" w:hAnsi="Times New Roman"/>
                <w:b/>
              </w:rPr>
              <w:t>Обременение Лота 1</w:t>
            </w:r>
            <w:r w:rsidRPr="00A20E21">
              <w:rPr>
                <w:rFonts w:ascii="Times New Roman" w:eastAsia="Times New Roman" w:hAnsi="Times New Roman"/>
              </w:rPr>
              <w:t>: залог в пользу КБ «БФГ-Кредит» (ООО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03E" w:rsidRDefault="000C203E" w:rsidP="00FD59CA">
            <w:pPr>
              <w:spacing w:before="20" w:after="20"/>
              <w:ind w:right="34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9E66A6">
              <w:rPr>
                <w:rFonts w:ascii="Times New Roman" w:hAnsi="Times New Roman"/>
              </w:rPr>
              <w:t>54 857 950,00</w:t>
            </w:r>
          </w:p>
        </w:tc>
        <w:tc>
          <w:tcPr>
            <w:tcW w:w="1701" w:type="dxa"/>
          </w:tcPr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eastAsia="Times New Roman" w:hAnsi="Times New Roman"/>
                <w:highlight w:val="green"/>
              </w:rPr>
            </w:pPr>
          </w:p>
          <w:p w:rsidR="000C203E" w:rsidRDefault="000C203E" w:rsidP="00FD59CA">
            <w:pPr>
              <w:spacing w:before="20" w:after="20"/>
              <w:ind w:right="34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34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34"/>
              <w:rPr>
                <w:rFonts w:ascii="Times New Roman" w:eastAsia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rPr>
                <w:rFonts w:ascii="Times New Roman" w:eastAsia="Times New Roman" w:hAnsi="Times New Roman"/>
                <w:highlight w:val="green"/>
              </w:rPr>
            </w:pPr>
            <w:r w:rsidRPr="009E66A6">
              <w:rPr>
                <w:rFonts w:ascii="Times New Roman" w:eastAsia="Times New Roman" w:hAnsi="Times New Roman"/>
              </w:rPr>
              <w:t>54 857 950,00</w:t>
            </w:r>
          </w:p>
        </w:tc>
      </w:tr>
      <w:tr w:rsidR="000C203E" w:rsidRPr="009E66A6" w:rsidTr="00FD59CA">
        <w:trPr>
          <w:trHeight w:val="20"/>
        </w:trPr>
        <w:tc>
          <w:tcPr>
            <w:tcW w:w="1135" w:type="dxa"/>
          </w:tcPr>
          <w:p w:rsidR="000C203E" w:rsidRPr="009E66A6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-57"/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Pr="009E66A6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03E" w:rsidRPr="009E66A6" w:rsidRDefault="000C203E" w:rsidP="00FD59CA">
            <w:pPr>
              <w:jc w:val="both"/>
              <w:rPr>
                <w:rFonts w:ascii="Times New Roman" w:hAnsi="Times New Roman"/>
              </w:rPr>
            </w:pPr>
            <w:r w:rsidRPr="009E66A6">
              <w:rPr>
                <w:rFonts w:ascii="Times New Roman" w:hAnsi="Times New Roman"/>
              </w:rPr>
              <w:t xml:space="preserve">Имущественные права по Договору № Сх-2/ТП-53 от 09.11.2015 участия в долевом строительстве многоквартирного дома – секции 2,3,4 на 120 квартир 4-х секционного, 9-ти этажного (+мансардный этаж  в угловой секции) жилого дома Корпус 2 (секции 2,3,4) жилого комплекса в составе 5-ти жилых домов с ДОУ и паркингом на 300 </w:t>
            </w:r>
            <w:proofErr w:type="spellStart"/>
            <w:r w:rsidRPr="009E66A6">
              <w:rPr>
                <w:rFonts w:ascii="Times New Roman" w:hAnsi="Times New Roman"/>
              </w:rPr>
              <w:t>машиномест</w:t>
            </w:r>
            <w:proofErr w:type="spellEnd"/>
            <w:r w:rsidRPr="009E66A6">
              <w:rPr>
                <w:rFonts w:ascii="Times New Roman" w:hAnsi="Times New Roman"/>
              </w:rPr>
              <w:t xml:space="preserve"> (1-я очередь строительства), расположенный по строительному адресу: Московская область, г. Химки, микрорайон Сходня, в районе домов 69, 77 (а-ж) по улице Первомайская, заключенному между ООО "ТОРГ ПРОФИ" и ООО «ЗЕМИНЖКОНСАЛТ». </w:t>
            </w:r>
          </w:p>
          <w:p w:rsidR="000C203E" w:rsidRPr="009E66A6" w:rsidRDefault="000C203E" w:rsidP="00FD59CA">
            <w:pPr>
              <w:widowControl w:val="0"/>
              <w:tabs>
                <w:tab w:val="left" w:pos="778"/>
              </w:tabs>
              <w:spacing w:line="317" w:lineRule="exact"/>
              <w:jc w:val="both"/>
              <w:rPr>
                <w:rFonts w:ascii="Times New Roman" w:eastAsia="Times New Roman" w:hAnsi="Times New Roman"/>
              </w:rPr>
            </w:pPr>
            <w:r w:rsidRPr="009E66A6">
              <w:rPr>
                <w:rFonts w:ascii="Times New Roman" w:eastAsia="Times New Roman" w:hAnsi="Times New Roman"/>
              </w:rPr>
              <w:t xml:space="preserve">Общая площадь 3435,58 </w:t>
            </w:r>
            <w:proofErr w:type="spellStart"/>
            <w:r w:rsidRPr="009E66A6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9E66A6">
              <w:rPr>
                <w:rFonts w:ascii="Times New Roman" w:eastAsia="Times New Roman" w:hAnsi="Times New Roman"/>
              </w:rPr>
              <w:t>.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842"/>
              <w:gridCol w:w="1418"/>
              <w:gridCol w:w="1417"/>
              <w:gridCol w:w="1276"/>
            </w:tblGrid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Строительный № квартиры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Площадь (</w:t>
                  </w:r>
                  <w:proofErr w:type="spellStart"/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кв.м</w:t>
                  </w:r>
                  <w:proofErr w:type="spellEnd"/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Кол-во комнат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Этаж</w:t>
                  </w:r>
                </w:p>
              </w:tc>
            </w:tr>
            <w:tr w:rsidR="000C203E" w:rsidRPr="009E66A6" w:rsidTr="00FD59CA">
              <w:tc>
                <w:tcPr>
                  <w:tcW w:w="6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 секция Многоквартирного дома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74,82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74,82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40,45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37,36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40,45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52,49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52,49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52,49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lastRenderedPageBreak/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52,49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37,36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37,36</w:t>
                  </w:r>
                </w:p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6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 секция Многоквартирного дома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82,68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57,97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82,68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58,25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82,68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82,68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59,6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115,74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166,4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111,42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</w:t>
                  </w:r>
                </w:p>
              </w:tc>
            </w:tr>
            <w:tr w:rsidR="000C203E" w:rsidRPr="009E66A6" w:rsidTr="00FD59CA">
              <w:tc>
                <w:tcPr>
                  <w:tcW w:w="6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 секция Многоквартирного дома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75,05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38,66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37,16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38,66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74,98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2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lastRenderedPageBreak/>
                    <w:t>34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42,06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42,06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6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42,06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43,35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8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77,88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53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156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78,22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9</w:t>
                  </w:r>
                </w:p>
              </w:tc>
            </w:tr>
            <w:tr w:rsidR="000C203E" w:rsidRPr="009E66A6" w:rsidTr="00FD59C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  <w:r w:rsidRPr="009E66A6">
                    <w:rPr>
                      <w:rFonts w:ascii="Times New Roman" w:eastAsia="Times New Roman" w:hAnsi="Times New Roman"/>
                      <w:lang w:bidi="ru-RU"/>
                    </w:rPr>
                    <w:t>3435,58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03E" w:rsidRPr="009E66A6" w:rsidRDefault="000C203E" w:rsidP="00FD59CA">
                  <w:pPr>
                    <w:widowControl w:val="0"/>
                    <w:tabs>
                      <w:tab w:val="left" w:pos="778"/>
                    </w:tabs>
                    <w:spacing w:line="317" w:lineRule="exact"/>
                    <w:jc w:val="center"/>
                    <w:rPr>
                      <w:rFonts w:ascii="Times New Roman" w:eastAsia="Times New Roman" w:hAnsi="Times New Roman"/>
                      <w:lang w:bidi="ru-RU"/>
                    </w:rPr>
                  </w:pPr>
                </w:p>
              </w:tc>
            </w:tr>
          </w:tbl>
          <w:p w:rsidR="000C203E" w:rsidRDefault="000C203E" w:rsidP="00FD59CA">
            <w:pPr>
              <w:jc w:val="both"/>
              <w:rPr>
                <w:rFonts w:ascii="Times New Roman" w:eastAsia="Times New Roman" w:hAnsi="Times New Roman"/>
              </w:rPr>
            </w:pPr>
            <w:r w:rsidRPr="009E66A6">
              <w:rPr>
                <w:rFonts w:ascii="Times New Roman" w:hAnsi="Times New Roman"/>
              </w:rPr>
              <w:t>Государственная регистрация Договоров участия в долевом строительстве многоквартирного дома №Сх-2/ТП-53 от 09.11.2015г. осуществлена Управлением Федеральной службы государственной регистрации, кадастра и картографии по Московской области 17.11.2015г.,</w:t>
            </w:r>
            <w:r w:rsidRPr="009E66A6">
              <w:rPr>
                <w:rFonts w:ascii="Times New Roman" w:eastAsia="Times New Roman" w:hAnsi="Times New Roman"/>
              </w:rPr>
              <w:t xml:space="preserve"> номер государственной регистрации 50-50/041-50/041/003/2015-3882/1.</w:t>
            </w:r>
          </w:p>
          <w:p w:rsidR="000C203E" w:rsidRPr="009E66A6" w:rsidRDefault="000C203E" w:rsidP="00FD59CA">
            <w:pPr>
              <w:jc w:val="both"/>
              <w:rPr>
                <w:rFonts w:ascii="Times New Roman" w:hAnsi="Times New Roman"/>
              </w:rPr>
            </w:pPr>
            <w:r w:rsidRPr="00A20E21">
              <w:rPr>
                <w:rFonts w:ascii="Times New Roman" w:eastAsia="Times New Roman" w:hAnsi="Times New Roman"/>
                <w:b/>
              </w:rPr>
              <w:t>Обременение Лота №2</w:t>
            </w:r>
            <w:r w:rsidRPr="00A20E21">
              <w:rPr>
                <w:rFonts w:ascii="Times New Roman" w:eastAsia="Times New Roman" w:hAnsi="Times New Roman"/>
              </w:rPr>
              <w:t>: залог в пользу КБ «БФГ-Кредит» (ООО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203E" w:rsidRDefault="000C203E" w:rsidP="00FD59CA">
            <w:pPr>
              <w:spacing w:before="20" w:after="20"/>
              <w:ind w:right="34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34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34"/>
              <w:jc w:val="center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34"/>
              <w:jc w:val="center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right="34"/>
              <w:jc w:val="center"/>
              <w:rPr>
                <w:rFonts w:ascii="Times New Roman" w:hAnsi="Times New Roman"/>
              </w:rPr>
            </w:pPr>
            <w:r w:rsidRPr="009E66A6">
              <w:rPr>
                <w:rFonts w:ascii="Times New Roman" w:hAnsi="Times New Roman"/>
              </w:rPr>
              <w:t>120 245 300,00</w:t>
            </w:r>
          </w:p>
        </w:tc>
        <w:tc>
          <w:tcPr>
            <w:tcW w:w="1701" w:type="dxa"/>
          </w:tcPr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</w:p>
          <w:p w:rsidR="000C203E" w:rsidRPr="009E66A6" w:rsidRDefault="000C203E" w:rsidP="00FD59CA">
            <w:pPr>
              <w:spacing w:before="20" w:after="20"/>
              <w:ind w:left="-57" w:right="34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E66A6">
              <w:rPr>
                <w:rFonts w:ascii="Times New Roman" w:hAnsi="Times New Roman"/>
              </w:rPr>
              <w:t>120 245 300,00</w:t>
            </w:r>
          </w:p>
        </w:tc>
      </w:tr>
      <w:tr w:rsidR="000C203E" w:rsidRPr="009E66A6" w:rsidTr="00FD59CA">
        <w:trPr>
          <w:trHeight w:val="521"/>
        </w:trPr>
        <w:tc>
          <w:tcPr>
            <w:tcW w:w="1135" w:type="dxa"/>
          </w:tcPr>
          <w:p w:rsidR="000C203E" w:rsidRPr="009E66A6" w:rsidRDefault="000C203E" w:rsidP="00FD59CA">
            <w:pPr>
              <w:spacing w:before="40" w:after="40"/>
              <w:ind w:right="-113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0C203E" w:rsidRPr="009E66A6" w:rsidRDefault="000C203E" w:rsidP="00FD59CA">
            <w:pPr>
              <w:spacing w:before="40" w:after="40"/>
              <w:ind w:right="-113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ИТОГО: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9E66A6">
              <w:rPr>
                <w:rFonts w:ascii="Times New Roman" w:eastAsia="Times New Roman" w:hAnsi="Times New Roman"/>
                <w:b/>
              </w:rPr>
              <w:t>стоимость Имущества (2-х лотов)</w:t>
            </w:r>
          </w:p>
        </w:tc>
        <w:tc>
          <w:tcPr>
            <w:tcW w:w="1701" w:type="dxa"/>
            <w:shd w:val="clear" w:color="auto" w:fill="auto"/>
          </w:tcPr>
          <w:p w:rsidR="000C203E" w:rsidRPr="009E66A6" w:rsidRDefault="000C203E" w:rsidP="00FD59CA">
            <w:pPr>
              <w:spacing w:before="40" w:after="40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175 103 250,00</w:t>
            </w:r>
          </w:p>
        </w:tc>
        <w:tc>
          <w:tcPr>
            <w:tcW w:w="1701" w:type="dxa"/>
          </w:tcPr>
          <w:p w:rsidR="000C203E" w:rsidRPr="009E66A6" w:rsidRDefault="000C203E" w:rsidP="00FD59CA">
            <w:pPr>
              <w:spacing w:before="40" w:after="40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 w:rsidRPr="009E66A6">
              <w:rPr>
                <w:rFonts w:ascii="Times New Roman" w:eastAsia="Times New Roman" w:hAnsi="Times New Roman"/>
                <w:b/>
              </w:rPr>
              <w:t>175 103 250,00</w:t>
            </w:r>
          </w:p>
        </w:tc>
      </w:tr>
    </w:tbl>
    <w:p w:rsidR="000C203E" w:rsidRDefault="000C203E" w:rsidP="000C203E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C203E" w:rsidRDefault="000C203E" w:rsidP="000C203E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C203E" w:rsidRDefault="000C203E" w:rsidP="000C203E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C203E" w:rsidRDefault="000C203E" w:rsidP="000C203E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C203E" w:rsidRDefault="000C203E" w:rsidP="000C203E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4675E" w:rsidRDefault="000C203E"/>
    <w:sectPr w:rsidR="0064675E" w:rsidSect="000C203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56"/>
    <w:rsid w:val="000C203E"/>
    <w:rsid w:val="00390A28"/>
    <w:rsid w:val="00573F80"/>
    <w:rsid w:val="00677E82"/>
    <w:rsid w:val="00A25D56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7F6F-4FFB-4132-A700-2BA5B95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0C203E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C203E"/>
    <w:pPr>
      <w:widowControl w:val="0"/>
      <w:shd w:val="clear" w:color="auto" w:fill="FFFFFF"/>
      <w:spacing w:before="240" w:after="0" w:line="274" w:lineRule="exact"/>
      <w:ind w:firstLine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2019-04-24T14:02:00Z</dcterms:created>
  <dcterms:modified xsi:type="dcterms:W3CDTF">2019-04-24T14:03:00Z</dcterms:modified>
</cp:coreProperties>
</file>