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95" w:rsidRDefault="00CF2995" w:rsidP="00CF2995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АО «Российский аукционный дом» (ОГРН 1097847233351 ИНН 7838430413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,</w:t>
      </w: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190000, Санкт-Петербург, </w:t>
      </w:r>
      <w:proofErr w:type="spellStart"/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пер</w:t>
      </w:r>
      <w:proofErr w:type="gramStart"/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.Г</w:t>
      </w:r>
      <w:proofErr w:type="gramEnd"/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ривцова</w:t>
      </w:r>
      <w:proofErr w:type="spellEnd"/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(812)334-26-04, 8(800)777-57-57, </w:t>
      </w:r>
      <w:hyperlink r:id="rId5" w:history="1">
        <w:r w:rsidRPr="00AF59DC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kan</w:t>
        </w:r>
        <w:r w:rsidRPr="00AF59DC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@</w:t>
        </w:r>
        <w:r w:rsidRPr="00AF59DC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auction</w:t>
        </w:r>
        <w:r w:rsidRPr="00AF59DC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-</w:t>
        </w:r>
        <w:r w:rsidRPr="00AF59DC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house</w:t>
        </w:r>
        <w:r w:rsidRPr="00AF59DC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.</w:t>
        </w:r>
        <w:r w:rsidRPr="00AF59DC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</w:hyperlink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B2251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ООО </w:t>
      </w:r>
      <w:r w:rsidRPr="00060DCF">
        <w:rPr>
          <w:rFonts w:ascii="Times New Roman" w:eastAsia="Times New Roman" w:hAnsi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«Торговый дом «</w:t>
      </w:r>
      <w:proofErr w:type="spellStart"/>
      <w:r w:rsidRPr="00060DCF">
        <w:rPr>
          <w:rFonts w:ascii="Times New Roman" w:eastAsia="Times New Roman" w:hAnsi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Нефтьгазинвест</w:t>
      </w:r>
      <w:proofErr w:type="spellEnd"/>
      <w:r w:rsidRPr="00060DCF">
        <w:rPr>
          <w:rFonts w:ascii="Times New Roman" w:eastAsia="Times New Roman" w:hAnsi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 xml:space="preserve">» </w:t>
      </w:r>
      <w:r w:rsidRPr="00C23684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(адрес: </w:t>
      </w:r>
      <w:r w:rsidRPr="00060DCF">
        <w:rPr>
          <w:rFonts w:ascii="Times New Roman" w:eastAsia="Times New Roman" w:hAnsi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369000, Карачаево-Черкесская Республика, 69 км. автодороги Невинномысск-Домбай</w:t>
      </w:r>
      <w:r w:rsidRPr="00C23684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Pr="00060DCF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ОГРН 1030900726438, ИНН 0901051850</w:t>
      </w:r>
      <w:r w:rsidRPr="00C23684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)</w:t>
      </w:r>
      <w:r w:rsidRPr="00B2251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(далее – Должник) в лице конкурсного управляющего </w:t>
      </w:r>
      <w:proofErr w:type="spellStart"/>
      <w:r w:rsidRPr="00942FD7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Кужбы</w:t>
      </w:r>
      <w:proofErr w:type="spellEnd"/>
      <w:r w:rsidRPr="00942FD7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И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.С.</w:t>
      </w:r>
      <w:r w:rsidRPr="00942FD7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AF59DC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(</w:t>
      </w: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почт. адрес: </w:t>
      </w:r>
      <w:r>
        <w:rPr>
          <w:rFonts w:ascii="Times New Roman" w:eastAsia="Times New Roman" w:hAnsi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 xml:space="preserve">355040, </w:t>
      </w:r>
      <w:r w:rsidRPr="00103ED1">
        <w:rPr>
          <w:rFonts w:ascii="Times New Roman" w:eastAsia="Times New Roman" w:hAnsi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г. Невинномысск</w:t>
      </w:r>
      <w:proofErr w:type="gramStart"/>
      <w:r w:rsidRPr="00103ED1">
        <w:rPr>
          <w:rFonts w:ascii="Times New Roman" w:eastAsia="Times New Roman" w:hAnsi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 xml:space="preserve"> ,</w:t>
      </w:r>
      <w:proofErr w:type="gramEnd"/>
      <w:r w:rsidRPr="00103ED1">
        <w:rPr>
          <w:rFonts w:ascii="Times New Roman" w:eastAsia="Times New Roman" w:hAnsi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 xml:space="preserve"> ул. Гагарина 95 а/я 4</w:t>
      </w:r>
      <w:r w:rsidRPr="000D705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Pr="00103ED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ИНН 263100814203, </w:t>
      </w:r>
      <w:proofErr w:type="spellStart"/>
      <w:r w:rsidRPr="00103ED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per</w:t>
      </w:r>
      <w:proofErr w:type="spellEnd"/>
      <w:r w:rsidRPr="00103ED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 номер в реестре 13522, СНИЛС № 01038137194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,</w:t>
      </w: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AF59DC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член </w:t>
      </w:r>
      <w:r w:rsidRPr="00103ED1">
        <w:rPr>
          <w:rFonts w:ascii="Times New Roman" w:eastAsia="Times New Roman" w:hAnsi="Times New Roman"/>
          <w:bCs/>
          <w:sz w:val="18"/>
          <w:szCs w:val="18"/>
          <w:lang w:eastAsia="ru-RU"/>
        </w:rPr>
        <w:t>СРО ААУ "</w:t>
      </w:r>
      <w:proofErr w:type="spellStart"/>
      <w:r w:rsidRPr="00103ED1">
        <w:rPr>
          <w:rFonts w:ascii="Times New Roman" w:eastAsia="Times New Roman" w:hAnsi="Times New Roman"/>
          <w:bCs/>
          <w:sz w:val="18"/>
          <w:szCs w:val="18"/>
          <w:lang w:eastAsia="ru-RU"/>
        </w:rPr>
        <w:t>Евросиб</w:t>
      </w:r>
      <w:proofErr w:type="spellEnd"/>
      <w:r w:rsidRPr="00103ED1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" (ИНН 0274107073, ОГРН 1050204056319, г. Москва, </w:t>
      </w:r>
      <w:proofErr w:type="spellStart"/>
      <w:r w:rsidRPr="00103ED1">
        <w:rPr>
          <w:rFonts w:ascii="Times New Roman" w:eastAsia="Times New Roman" w:hAnsi="Times New Roman"/>
          <w:bCs/>
          <w:sz w:val="18"/>
          <w:szCs w:val="18"/>
          <w:lang w:eastAsia="ru-RU"/>
        </w:rPr>
        <w:t>Дербеневская</w:t>
      </w:r>
      <w:proofErr w:type="spellEnd"/>
      <w:r w:rsidRPr="00103ED1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наб., д.11, оф.717, тел. (495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) 782-82-22, www.eurosib-sro.ru))</w:t>
      </w: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(далее - КУ)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,</w:t>
      </w: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0D7056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действующий на основании </w:t>
      </w:r>
      <w:r w:rsidRPr="00C23684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Решения </w:t>
      </w:r>
      <w:r w:rsidRPr="00103ED1">
        <w:rPr>
          <w:rFonts w:ascii="Times New Roman" w:eastAsia="Times New Roman" w:hAnsi="Times New Roman"/>
          <w:bCs/>
          <w:sz w:val="18"/>
          <w:szCs w:val="18"/>
          <w:lang w:eastAsia="ru-RU"/>
        </w:rPr>
        <w:t>Арбитражного суда Карачаево-Черкесской Республики от 23.07.2013 по делу №А25-1205/2013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, </w:t>
      </w:r>
      <w:r w:rsidRPr="00B2251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сообщает о проведении </w:t>
      </w:r>
      <w:r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03.10.</w:t>
      </w:r>
      <w:r w:rsidRPr="00B22518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201</w:t>
      </w:r>
      <w:r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9</w:t>
      </w:r>
      <w:r w:rsidRPr="00B22518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в 09 час.00 мин.</w:t>
      </w:r>
      <w:r w:rsidRPr="00B2251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на электронной площадке </w:t>
      </w:r>
      <w:r w:rsidRPr="00B22518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АО «Российский аукционный дом», по адресу в сети интернет: bankruptcy.lot-online.ru</w:t>
      </w:r>
      <w:r w:rsidRPr="00B2251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09483C">
        <w:rPr>
          <w:rFonts w:ascii="Times New Roman" w:hAnsi="Times New Roman"/>
          <w:sz w:val="18"/>
          <w:szCs w:val="18"/>
          <w:shd w:val="clear" w:color="auto" w:fill="FFFFFF"/>
        </w:rPr>
        <w:t>(далее – Торги 1)</w:t>
      </w:r>
      <w:r w:rsidRPr="00B2251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</w:p>
    <w:p w:rsidR="00CF2995" w:rsidRPr="00B22518" w:rsidRDefault="00CF2995" w:rsidP="00CF2995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B2251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Начало приема заявок на участие в 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Т</w:t>
      </w:r>
      <w:r w:rsidRPr="00B2251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оргах 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1 </w:t>
      </w:r>
      <w:r w:rsidRPr="00B22518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с 09 час. 00 мин. (время </w:t>
      </w:r>
      <w:proofErr w:type="spellStart"/>
      <w:proofErr w:type="gramStart"/>
      <w:r w:rsidRPr="00B22518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proofErr w:type="gramEnd"/>
      <w:r w:rsidRPr="00B22518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) </w:t>
      </w:r>
      <w:r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24.08.2019</w:t>
      </w:r>
      <w:r w:rsidRPr="00B22518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по </w:t>
      </w:r>
      <w:r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01.10.2019</w:t>
      </w:r>
      <w:r w:rsidRPr="00B22518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до 23 час 00 мин.</w:t>
      </w:r>
      <w:r w:rsidRPr="00B2251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Определение участников торгов – </w:t>
      </w:r>
      <w:r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02.10.2019</w:t>
      </w:r>
      <w:r w:rsidRPr="00B22518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в 17 час. 00 мин.,</w:t>
      </w:r>
      <w:r w:rsidRPr="00B2251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CF2995" w:rsidRDefault="00CF2995" w:rsidP="00CF2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D74776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Продаже на Торгах 1 и Торгах 2 </w:t>
      </w:r>
      <w:r w:rsidRPr="00B2251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подлежит </w:t>
      </w:r>
      <w:r w:rsidRPr="00B22518">
        <w:rPr>
          <w:rFonts w:ascii="Times New Roman" w:eastAsia="Times New Roman" w:hAnsi="Times New Roman"/>
          <w:sz w:val="18"/>
          <w:szCs w:val="18"/>
          <w:lang w:eastAsia="ru-RU"/>
        </w:rPr>
        <w:t xml:space="preserve">отдельными лотами </w:t>
      </w: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следующее имущество 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(далее – Имущество, Лот), начальная </w:t>
      </w:r>
      <w:r w:rsidRPr="00DF6794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цена </w:t>
      </w:r>
      <w:r w:rsidRPr="00DF6794">
        <w:rPr>
          <w:rFonts w:ascii="Times New Roman" w:eastAsia="Times New Roman" w:hAnsi="Times New Roman"/>
          <w:sz w:val="18"/>
          <w:szCs w:val="18"/>
          <w:lang w:eastAsia="ru-RU"/>
        </w:rPr>
        <w:t xml:space="preserve">(далее – Нач. </w:t>
      </w:r>
      <w:proofErr w:type="gramStart"/>
      <w:r w:rsidRPr="00DF6794">
        <w:rPr>
          <w:rFonts w:ascii="Times New Roman" w:eastAsia="Times New Roman" w:hAnsi="Times New Roman"/>
          <w:sz w:val="18"/>
          <w:szCs w:val="18"/>
          <w:lang w:eastAsia="ru-RU"/>
        </w:rPr>
        <w:t>цена)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НДС не облагается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</w:p>
    <w:p w:rsidR="00CF2995" w:rsidRPr="00FA5470" w:rsidRDefault="00CF2995" w:rsidP="00CF299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Лот №1: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gram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АГЗС комплекс, являющегося сложной вещью, состоящий из: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земельный участок, пл. 322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., кадастровый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номер (далее –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. №) 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09:06:0040174:16, категория земель: земли населенных пунктов, вид разрешенного использования: для размещения автозаправки, по адресу: установлено относительно ориентира, расположенного в границах участка, почтовый адрес ориентира:</w:t>
      </w:r>
      <w:proofErr w:type="gram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 Карачаево-Черкесская</w:t>
      </w:r>
      <w:proofErr w:type="gram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Р</w:t>
      </w:r>
      <w:proofErr w:type="gram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есп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., р-н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Зеленчукский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ст-ца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 Зеленчукская, ул. Гагарина, АЗС;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земельный участок, пл. 315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., </w:t>
      </w:r>
      <w:proofErr w:type="spellStart"/>
      <w:r w:rsidRPr="00991170"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 w:rsidRPr="00991170">
        <w:rPr>
          <w:rFonts w:ascii="Times New Roman" w:eastAsia="Times New Roman" w:hAnsi="Times New Roman"/>
          <w:sz w:val="18"/>
          <w:szCs w:val="18"/>
          <w:lang w:eastAsia="ru-RU"/>
        </w:rPr>
        <w:t>. №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 09:06:0040174:45, категория земель: земли населенных пунктов, вид разрешенного использования: для размещения автозаправки, по адресу: установлено относительно ориентира, расположенного в границах участка, почтовый адрес ориентира: Карачаево-Черкесская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Респ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., р-н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Зеленчукский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ст-ца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 Зеленчукская, ул. Гагарина, б/н;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навес, пл. 33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кв</w:t>
      </w:r>
      <w:proofErr w:type="gram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.м</w:t>
      </w:r>
      <w:proofErr w:type="spellEnd"/>
      <w:proofErr w:type="gram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; резервуар УГМ-04 16,3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куб.м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Н</w:t>
      </w:r>
      <w:r w:rsidRPr="00056C90">
        <w:rPr>
          <w:rFonts w:ascii="Times New Roman" w:eastAsia="Times New Roman" w:hAnsi="Times New Roman"/>
          <w:b/>
          <w:sz w:val="18"/>
          <w:szCs w:val="18"/>
          <w:lang w:eastAsia="ru-RU"/>
        </w:rPr>
        <w:t>ач. цена Лота № 1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–</w:t>
      </w:r>
      <w:r w:rsidRPr="00C7375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1 194 735</w:t>
      </w:r>
      <w:r w:rsidRPr="00C73759">
        <w:rPr>
          <w:rFonts w:ascii="Times New Roman" w:eastAsia="Times New Roman" w:hAnsi="Times New Roman"/>
          <w:b/>
          <w:sz w:val="18"/>
          <w:szCs w:val="18"/>
          <w:lang w:eastAsia="ru-RU"/>
        </w:rPr>
        <w:t>,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0</w:t>
      </w:r>
      <w:r w:rsidRPr="00C73759">
        <w:rPr>
          <w:rFonts w:ascii="Times New Roman" w:eastAsia="Times New Roman" w:hAnsi="Times New Roman"/>
          <w:b/>
          <w:sz w:val="18"/>
          <w:szCs w:val="18"/>
          <w:lang w:eastAsia="ru-RU"/>
        </w:rPr>
        <w:t>0 рублей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CF2995" w:rsidRDefault="00CF2995" w:rsidP="00CF299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6183D">
        <w:rPr>
          <w:rFonts w:ascii="Times New Roman" w:eastAsia="Times New Roman" w:hAnsi="Times New Roman"/>
          <w:b/>
          <w:sz w:val="18"/>
          <w:szCs w:val="18"/>
          <w:lang w:eastAsia="ru-RU"/>
        </w:rPr>
        <w:t>Лот №2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: Автозаправочный комплекс А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ЗС, являющийся сложной вещью, 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состоящий </w:t>
      </w:r>
      <w:proofErr w:type="gram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из</w:t>
      </w:r>
      <w:proofErr w:type="gram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: Нежилое здание, автозаправочная станция, пл. 38,1 кв. м,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 № 09:07:0030108:2142, по адресу: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Усть-Джегутинский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 р-н,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г</w:t>
      </w:r>
      <w:proofErr w:type="gram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.У</w:t>
      </w:r>
      <w:proofErr w:type="gram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сть-Джегута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, ул. Курортная, 200;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Нежилое здание, здание автомойки, пл. 111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., этажность: 1,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>. №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 09:07:0000000:11099, по адресу: Карачаево-Черкесская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Респ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.,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Усть-Джегутинский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 р-н,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г</w:t>
      </w:r>
      <w:proofErr w:type="gram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.У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>сть-Джегута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, ул. Курортная, 200; 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земельный участок, пл. 1356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., </w:t>
      </w:r>
      <w:proofErr w:type="spellStart"/>
      <w:r w:rsidRPr="00107EF2"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 w:rsidRPr="00107EF2">
        <w:rPr>
          <w:rFonts w:ascii="Times New Roman" w:eastAsia="Times New Roman" w:hAnsi="Times New Roman"/>
          <w:sz w:val="18"/>
          <w:szCs w:val="18"/>
          <w:lang w:eastAsia="ru-RU"/>
        </w:rPr>
        <w:t xml:space="preserve">. № 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 09:07:0030108:64, категория земель: земли населенных пунктов, вид разрешенного использования: под автозаправочную станцию, по адресу: установлено относительно ориентира, расположенного в границах участка, почтовый адрес ориентира: Карачаево-Черкесская Республика,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Усть-Джегутинский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 р-н,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г</w:t>
      </w:r>
      <w:proofErr w:type="gram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.У</w:t>
      </w:r>
      <w:proofErr w:type="gram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сть-Джегута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, ул. Курортная, 200;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навес,  пл. 115 кв. м., уборная лит. III, ворота лит. 1, забор лит 2, покрытие лит. IV, покрытие </w:t>
      </w:r>
      <w:proofErr w:type="gram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лит</w:t>
      </w:r>
      <w:proofErr w:type="gram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. V, покрытие </w:t>
      </w:r>
      <w:proofErr w:type="gram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лит</w:t>
      </w:r>
      <w:proofErr w:type="gram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. IX, агрегат насосный (6 шт.), компрессор, емкость для воды 1000 л. (2 шт.), емкость подземная 25 куб. м. (3 шт.), емкость СУ Г 10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куб.м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., ККМ Марки Штрих-М-ФРК, колонка АДАСТ, колонка НАРА-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бти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 рук</w:t>
      </w:r>
      <w:proofErr w:type="gram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., </w:t>
      </w:r>
      <w:proofErr w:type="gram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мойка высокого давления (2 шт.),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стелла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 (световое табло), пульт управления Топаз (2шт).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Н</w:t>
      </w:r>
      <w:r w:rsidRPr="00056C9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ач. цена Лота №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2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–</w:t>
      </w:r>
      <w:r w:rsidRPr="00C7375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4 633 328,80</w:t>
      </w:r>
      <w:r w:rsidRPr="00C7375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CF2995" w:rsidRDefault="00CF2995" w:rsidP="00CF299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6183D">
        <w:rPr>
          <w:rFonts w:ascii="Times New Roman" w:eastAsia="Times New Roman" w:hAnsi="Times New Roman"/>
          <w:b/>
          <w:sz w:val="18"/>
          <w:szCs w:val="18"/>
          <w:lang w:eastAsia="ru-RU"/>
        </w:rPr>
        <w:t>Лот №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3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: Автозаправочный комплекс АЗС, по адресу: Карачаево-Черкесская Республика, г. Черкесск, 69 км</w:t>
      </w:r>
      <w:proofErr w:type="gram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proofErr w:type="gram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gram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proofErr w:type="gram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втодороги «Невинномысск-Домбай», являющийся сложной вещью, </w:t>
      </w:r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состоящий из: Нежилое здание, административное здание с гаражом, пл. 78,8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кв</w:t>
      </w:r>
      <w:proofErr w:type="gram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.м</w:t>
      </w:r>
      <w:proofErr w:type="spellEnd"/>
      <w:proofErr w:type="gram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, этажность: 1,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. № 09:04:0101024:98; Нежилое здание, склад, пл. 242,1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, этажность: 1,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. № 09:04:0101024:96;  Нежилое здание, бытовое помещение, пл. 37,6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.,  этажность: 1,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 № 09:04:0101024:97; Нежилое здание, административное здание, пл. 44,1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кв</w:t>
      </w:r>
      <w:proofErr w:type="gram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.м</w:t>
      </w:r>
      <w:proofErr w:type="spellEnd"/>
      <w:proofErr w:type="gram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, этажность: 1,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. № 09:04:0101024:99; Нежилое здание, бытовое помещение, пл. 12,7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.,  этажность: 1,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. № 09:04:0101024:101; Нежилое здание, сторожка, пл. 17,8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.,  этажность: 2,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. № 09:04:0101024:102; Нежилое здание, склад, пл. 31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., этажность: 1,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. № 09:04:0101024:103; Нежилое здание, операторская, пл. 4,2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., этажность: 1,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. №  09:04:0101024:104; Нежилое здание, операторская, пл. 23,9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.,  этажность: 1,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. № 09:04:0101024:105; Нежилое здание, здание боулинга, пл. 524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кв</w:t>
      </w:r>
      <w:proofErr w:type="gram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.м</w:t>
      </w:r>
      <w:proofErr w:type="spellEnd"/>
      <w:proofErr w:type="gram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,  этажность: 1,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. № 09:04:0101024:106; Нежилое здание, шашлычная, пл. 40,4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., этажность: 1,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. №  09:04:0101024:107; </w:t>
      </w:r>
      <w:proofErr w:type="gram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Нежилое здание, развлекательный комплекс, пл. 281,3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.,  этажность: 1,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. № 09:04:0101024:108; Нежилое здание, проходная, пл. 11,4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., этажность: 2,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. № 09:04:0101024:109;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011605">
        <w:rPr>
          <w:rFonts w:ascii="Times New Roman" w:eastAsia="Times New Roman" w:hAnsi="Times New Roman"/>
          <w:sz w:val="18"/>
          <w:szCs w:val="18"/>
          <w:lang w:eastAsia="ru-RU"/>
        </w:rPr>
        <w:t xml:space="preserve">Нежилое здание, административное здание, пл. 91,9 </w:t>
      </w:r>
      <w:proofErr w:type="spellStart"/>
      <w:r w:rsidRPr="00011605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011605">
        <w:rPr>
          <w:rFonts w:ascii="Times New Roman" w:eastAsia="Times New Roman" w:hAnsi="Times New Roman"/>
          <w:sz w:val="18"/>
          <w:szCs w:val="18"/>
          <w:lang w:eastAsia="ru-RU"/>
        </w:rPr>
        <w:t xml:space="preserve">., этажность: 1, </w:t>
      </w:r>
      <w:proofErr w:type="spellStart"/>
      <w:r w:rsidRPr="00011605"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 w:rsidRPr="00011605">
        <w:rPr>
          <w:rFonts w:ascii="Times New Roman" w:eastAsia="Times New Roman" w:hAnsi="Times New Roman"/>
          <w:sz w:val="18"/>
          <w:szCs w:val="18"/>
          <w:lang w:eastAsia="ru-RU"/>
        </w:rPr>
        <w:t>. № 09:04:0101024:190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; </w:t>
      </w:r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Нежилое здание, кафе-бар, пл. 144,9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., этажность: 1,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. №  09:04:0101024:93;</w:t>
      </w:r>
      <w:proofErr w:type="gram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 Нежилое здание, проходная, пл. 15,6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.,  этажность: 2,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. № 09:04:0101024:94; Нежилое здание, операторская, пл. 16,7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кв</w:t>
      </w:r>
      <w:proofErr w:type="gram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.м</w:t>
      </w:r>
      <w:proofErr w:type="spellEnd"/>
      <w:proofErr w:type="gram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,  этажность: 1,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 xml:space="preserve">. № 09:04:0101024:95; земельный участок, пл. 5525 </w:t>
      </w:r>
      <w:proofErr w:type="spellStart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0B0245">
        <w:rPr>
          <w:rFonts w:ascii="Times New Roman" w:eastAsia="Times New Roman" w:hAnsi="Times New Roman"/>
          <w:sz w:val="18"/>
          <w:szCs w:val="18"/>
          <w:lang w:eastAsia="ru-RU"/>
        </w:rPr>
        <w:t>.,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>. №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 09:04:0101024:11, категория земель: земли населенных пунктов, вид разрешенного использования: под производственной базой и АЗС, по адресу: установлено относительно ориентира, расположенного в границах участка, почтовый адрес ориентира: г. Черкесск, 69 км</w:t>
      </w:r>
      <w:proofErr w:type="gram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proofErr w:type="gram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gram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proofErr w:type="gram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втодороги «Невинномысск-Домбай»;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навес, пл. 136,3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>. №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 09:04:0101381:4; навес, пл. 20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кв</w:t>
      </w:r>
      <w:proofErr w:type="gram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.м</w:t>
      </w:r>
      <w:proofErr w:type="spellEnd"/>
      <w:proofErr w:type="gram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; навес, пл. 61,6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.; установка для розлива бензина (3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шт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); емкости для хранения бензина (4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шт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);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газоразливная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 установка (1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шт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); емкость для хранения газа (1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шт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).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Н</w:t>
      </w:r>
      <w:r w:rsidRPr="00056C9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ач. цена Лота №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3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–</w:t>
      </w:r>
      <w:r w:rsidRPr="00C7375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35 755 887,20</w:t>
      </w:r>
      <w:r w:rsidRPr="00C7375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CF2995" w:rsidRPr="00FA5470" w:rsidRDefault="00CF2995" w:rsidP="00CF299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6183D">
        <w:rPr>
          <w:rFonts w:ascii="Times New Roman" w:eastAsia="Times New Roman" w:hAnsi="Times New Roman"/>
          <w:b/>
          <w:sz w:val="18"/>
          <w:szCs w:val="18"/>
          <w:lang w:eastAsia="ru-RU"/>
        </w:rPr>
        <w:t>Лот №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4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: 7 (семь) резервуаров, расположенных по адресу Ставропольский край, г. Минеральные Воды, ул. Новая, д. 2а, а именно: резервуар, объемом 100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куб</w:t>
      </w:r>
      <w:proofErr w:type="gram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.м</w:t>
      </w:r>
      <w:proofErr w:type="spellEnd"/>
      <w:proofErr w:type="gram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, резервуар, объемом 100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куб.м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, резервуар, объемом 100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куб.м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, резервуар, объемом 50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куб.м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., резервуар, объемом 50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куб.м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., резервуар, объемом 25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куб.м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 резервуар, объемом 25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куб.м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Н</w:t>
      </w:r>
      <w:r w:rsidRPr="00056C9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ач. цена Лота №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4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–</w:t>
      </w:r>
      <w:r w:rsidRPr="00C7375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1 856 650,00</w:t>
      </w:r>
      <w:r w:rsidRPr="00C7375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CF2995" w:rsidRDefault="00CF2995" w:rsidP="00CF299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56C90">
        <w:rPr>
          <w:rFonts w:ascii="Times New Roman" w:eastAsia="Times New Roman" w:hAnsi="Times New Roman"/>
          <w:b/>
          <w:sz w:val="18"/>
          <w:szCs w:val="18"/>
          <w:lang w:eastAsia="ru-RU"/>
        </w:rPr>
        <w:t>Обременение Лот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ов</w:t>
      </w:r>
      <w:r w:rsidRPr="00056C9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№ 1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-4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за исключением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в Лоте №3 - 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здание кафе-бар, пл. 144,9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., этажность: 1,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>. №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 09:04:0101024:93, навеса, пл. 136,3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>. №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 09:04:0101381:4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)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: залог (ипотека) в пользу ООО «СБК Актив» на основании Определения Арбитражного суда Карачаево-Черкесской Республики о процессуальном правопреемстве по делу №А-251205/2013 от 16.12.2014;</w:t>
      </w:r>
      <w:proofErr w:type="gram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 согласно Выписке из ЕГРН от 24.12.2018 - Залог (ипотека) в пользу ПАО Сбербанк.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CF2995" w:rsidRPr="00FA5470" w:rsidRDefault="00CF2995" w:rsidP="00CF2995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Ознакомление с Имуществом производится по адресу их местонахождения, по предварит</w:t>
      </w:r>
      <w:proofErr w:type="gramStart"/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proofErr w:type="gramEnd"/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д</w:t>
      </w:r>
      <w:proofErr w:type="gramEnd"/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оговоренности в раб. дни с 10.00 до 17.00, тел.: +7 928 829 15 25 (КУ), (812) 334-26-04 (Кан Татьяна, ОТ).</w:t>
      </w:r>
    </w:p>
    <w:p w:rsidR="00F67175" w:rsidRDefault="00CF2995" w:rsidP="00CF2995">
      <w:pP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Для Торгов 1 и Торгов 2: задаток составляет 5 % от начальной цены Лота; шаг аукциона составляет 5 % от начальной цены Лота. Поступление задатка на счета, указанные в сообщении о проведении торгов, должно быть подтверждено на </w:t>
      </w:r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lastRenderedPageBreak/>
        <w:t xml:space="preserve">дату составления протокола об определении участников торгов. Реквизиты </w:t>
      </w:r>
      <w:proofErr w:type="spellStart"/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расч</w:t>
      </w:r>
      <w:proofErr w:type="spellEnd"/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</w:t>
      </w:r>
      <w:proofErr w:type="gramStart"/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к</w:t>
      </w:r>
      <w:proofErr w:type="gramEnd"/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/с № 30101810500000000653, БИК 044030653; № 40702810935000014048 в ПАО «Банк Санкт-Петербург», к/с № 30101810900000000790, БИК 044030790. Документом, подтверждающим поступление задатка на счет </w:t>
      </w:r>
      <w:proofErr w:type="gramStart"/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ОТ</w:t>
      </w:r>
      <w:proofErr w:type="gramEnd"/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, является выписка со счета ОТ. Исполнение обязанности по внесению суммы задатка третьими лицами не допускается.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CF2995" w:rsidRPr="00FA5470" w:rsidRDefault="00CF2995" w:rsidP="00CF2995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В случае</w:t>
      </w:r>
      <w:proofErr w:type="gramStart"/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,</w:t>
      </w:r>
      <w:proofErr w:type="gramEnd"/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если по итогам Торгов 1, назначенных на 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03</w:t>
      </w:r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октября</w:t>
      </w:r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2019 г., торги признаны несостоявшимися по причине отсутствия заявок на участие в торгах, ОТ сообщает о проведении </w:t>
      </w:r>
      <w:r w:rsidRPr="00080A42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21.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11</w:t>
      </w:r>
      <w:r w:rsidRPr="008C0E1B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.2019 г. в 09 час. 00 мин. повторных открытых электронных торгов (далее – Торги 2) </w:t>
      </w:r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на ЭП по нереализованным лотам со снижением начальной цены лотов на 10 (Десять) %. </w:t>
      </w:r>
      <w:r w:rsidRPr="008C0E1B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Начало приема заявок на участие в Торгах 2 с 09 час. 00 мин. (время </w:t>
      </w:r>
      <w:proofErr w:type="spellStart"/>
      <w:proofErr w:type="gramStart"/>
      <w:r w:rsidRPr="008C0E1B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proofErr w:type="gramEnd"/>
      <w:r w:rsidRPr="008C0E1B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)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12.10.2019 по 19</w:t>
      </w:r>
      <w:r w:rsidRPr="008C0E1B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11</w:t>
      </w:r>
      <w:r w:rsidRPr="008C0E1B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.2019 до 23 час 00 мин.</w:t>
      </w:r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Оп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ределение участников торгов – 20</w:t>
      </w:r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11</w:t>
      </w:r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.2019 в 17 час. 00 мин., оформляется протоколом об определении участников торгов. </w:t>
      </w:r>
    </w:p>
    <w:p w:rsidR="00CF2995" w:rsidRPr="00FA5470" w:rsidRDefault="00CF2995" w:rsidP="00CF2995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</w:r>
      <w:proofErr w:type="gramEnd"/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иностр</w:t>
      </w:r>
      <w:proofErr w:type="spellEnd"/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proofErr w:type="gramEnd"/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а</w:t>
      </w:r>
      <w:proofErr w:type="gramEnd"/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CF2995" w:rsidRDefault="00CF2995" w:rsidP="00CF2995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</w:pPr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Победитель Торгов 1, Торгов 2 - лицо, предложившее наиболее высокую цену (далее – ПТ). Результаты торгов подводятся </w:t>
      </w:r>
      <w:proofErr w:type="gramStart"/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ОТ</w:t>
      </w:r>
      <w:proofErr w:type="gramEnd"/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в</w:t>
      </w:r>
      <w:proofErr w:type="gramEnd"/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</w:t>
      </w:r>
      <w:proofErr w:type="gramStart"/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с даты получения</w:t>
      </w:r>
      <w:proofErr w:type="gramEnd"/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победителем торгов ДКП от КУ. Оплата - в течение 30 дней со дня подписания ДКП на счет Должника: </w:t>
      </w:r>
      <w:proofErr w:type="gramStart"/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р</w:t>
      </w:r>
      <w:proofErr w:type="gramEnd"/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/с № 40702810609500000219 в Филиале № 4 ОАО КБ «Центр-Инвест» (355000, г. Ставрополь, пр. </w:t>
      </w:r>
      <w:proofErr w:type="gramStart"/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Юности, д. 1б), к/с № 30101810400000000734 в ГРКЦ ГУ Банка России по Ставропольскому краю, г. Ставрополь, БИК 040702734.</w:t>
      </w:r>
      <w:proofErr w:type="gramEnd"/>
    </w:p>
    <w:p w:rsidR="00CF2995" w:rsidRDefault="00CF2995" w:rsidP="00CF2995">
      <w:bookmarkStart w:id="0" w:name="_GoBack"/>
      <w:bookmarkEnd w:id="0"/>
    </w:p>
    <w:sectPr w:rsidR="00CF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D4"/>
    <w:rsid w:val="00CF2995"/>
    <w:rsid w:val="00E751D4"/>
    <w:rsid w:val="00F6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1590</Words>
  <Characters>9066</Characters>
  <Application>Microsoft Office Word</Application>
  <DocSecurity>0</DocSecurity>
  <Lines>75</Lines>
  <Paragraphs>21</Paragraphs>
  <ScaleCrop>false</ScaleCrop>
  <Company>Hewlett-Packard Company</Company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Антон</dc:creator>
  <cp:keywords/>
  <dc:description/>
  <cp:lastModifiedBy>Олейник Антон</cp:lastModifiedBy>
  <cp:revision>2</cp:revision>
  <dcterms:created xsi:type="dcterms:W3CDTF">2019-08-20T12:15:00Z</dcterms:created>
  <dcterms:modified xsi:type="dcterms:W3CDTF">2019-08-20T12:15:00Z</dcterms:modified>
</cp:coreProperties>
</file>