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7247FC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C27009" w:rsidRPr="00C27009">
        <w:rPr>
          <w:sz w:val="24"/>
          <w:szCs w:val="24"/>
        </w:rPr>
        <w:t>10% от начальной цены лота в действующем периоде</w:t>
      </w:r>
      <w:r w:rsidR="00C27009">
        <w:rPr>
          <w:sz w:val="24"/>
          <w:szCs w:val="24"/>
        </w:rPr>
        <w:t xml:space="preserve"> в размере____________________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C27009">
        <w:rPr>
          <w:sz w:val="24"/>
          <w:szCs w:val="24"/>
        </w:rPr>
        <w:t>_____________________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C27009">
        <w:rPr>
          <w:sz w:val="24"/>
          <w:szCs w:val="24"/>
        </w:rPr>
        <w:t>___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A1485A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 w:rsidR="00C27009"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="00C27009"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="00C27009" w:rsidRPr="00C27009">
        <w:rPr>
          <w:sz w:val="24"/>
          <w:szCs w:val="24"/>
        </w:rPr>
        <w:t>Витон</w:t>
      </w:r>
      <w:proofErr w:type="spellEnd"/>
      <w:r w:rsidR="00C27009" w:rsidRPr="00C27009">
        <w:rPr>
          <w:sz w:val="24"/>
          <w:szCs w:val="24"/>
        </w:rPr>
        <w:t>», находящегося в залоге у ПАО «Сбербанк России»</w:t>
      </w:r>
      <w:r w:rsidRPr="00C27009">
        <w:rPr>
          <w:sz w:val="24"/>
          <w:szCs w:val="24"/>
        </w:rPr>
        <w:t xml:space="preserve">, </w:t>
      </w:r>
      <w:r w:rsidR="009D3E3E" w:rsidRPr="00C27009">
        <w:rPr>
          <w:sz w:val="24"/>
          <w:szCs w:val="24"/>
        </w:rPr>
        <w:t>Лот №</w:t>
      </w:r>
      <w:r w:rsidR="009D3E3E" w:rsidRPr="001C6A53">
        <w:rPr>
          <w:sz w:val="24"/>
          <w:szCs w:val="24"/>
        </w:rPr>
        <w:t>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 xml:space="preserve">1-комнатная квартира, площадью 32,40 кв. м., этаж: 1, назначение: жилое,  расположенное по адресу: </w:t>
      </w:r>
      <w:proofErr w:type="gramStart"/>
      <w:r w:rsidR="00E04212" w:rsidRPr="00E0421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</w:t>
      </w:r>
      <w:r w:rsidRPr="00300CBE">
        <w:rPr>
          <w:sz w:val="24"/>
          <w:szCs w:val="24"/>
        </w:rPr>
        <w:t>размере</w:t>
      </w:r>
      <w:r w:rsidR="000B6376" w:rsidRPr="00300CBE">
        <w:rPr>
          <w:sz w:val="24"/>
          <w:szCs w:val="24"/>
        </w:rPr>
        <w:t xml:space="preserve"> </w:t>
      </w:r>
      <w:r w:rsidR="0045363A" w:rsidRPr="00300CBE">
        <w:rPr>
          <w:sz w:val="24"/>
          <w:szCs w:val="24"/>
        </w:rPr>
        <w:t xml:space="preserve"> </w:t>
      </w:r>
      <w:r w:rsidR="00300CBE" w:rsidRPr="00300CBE">
        <w:rPr>
          <w:sz w:val="24"/>
          <w:szCs w:val="24"/>
        </w:rPr>
        <w:t>655 710 (шестьсот пятьдесят пять тысяч семьсот десять) рублей 14 копеек</w:t>
      </w:r>
      <w:r w:rsidRPr="00300CBE">
        <w:rPr>
          <w:sz w:val="24"/>
          <w:szCs w:val="24"/>
        </w:rPr>
        <w:t xml:space="preserve"> (НДС не облагается на основании </w:t>
      </w:r>
      <w:proofErr w:type="spellStart"/>
      <w:r w:rsidRPr="00300CBE">
        <w:rPr>
          <w:sz w:val="24"/>
          <w:szCs w:val="24"/>
        </w:rPr>
        <w:t>п.п</w:t>
      </w:r>
      <w:proofErr w:type="spellEnd"/>
      <w:r w:rsidRPr="00300CBE">
        <w:rPr>
          <w:sz w:val="24"/>
          <w:szCs w:val="24"/>
        </w:rPr>
        <w:t>. 15. п. 2. ст. 146 НК Р</w:t>
      </w:r>
      <w:r w:rsidRPr="001C6A53">
        <w:rPr>
          <w:sz w:val="24"/>
          <w:szCs w:val="24"/>
        </w:rPr>
        <w:t>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C27009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C27009" w:rsidRPr="00C27009">
        <w:rPr>
          <w:rFonts w:ascii="Times New Roman" w:hAnsi="Times New Roman" w:cs="Times New Roman"/>
          <w:sz w:val="24"/>
          <w:szCs w:val="24"/>
        </w:rPr>
        <w:t xml:space="preserve"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</w:t>
      </w:r>
      <w:r w:rsidR="00022333" w:rsidRPr="00C27009">
        <w:rPr>
          <w:rFonts w:ascii="Times New Roman" w:hAnsi="Times New Roman" w:cs="Times New Roman"/>
          <w:sz w:val="24"/>
          <w:szCs w:val="24"/>
        </w:rPr>
        <w:t>П</w:t>
      </w:r>
      <w:r w:rsidRPr="00C27009">
        <w:rPr>
          <w:rFonts w:ascii="Times New Roman" w:hAnsi="Times New Roman" w:cs="Times New Roman"/>
          <w:sz w:val="24"/>
          <w:szCs w:val="24"/>
        </w:rPr>
        <w:t>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CB42D4">
        <w:trPr>
          <w:gridAfter w:val="1"/>
          <w:wAfter w:w="1902" w:type="dxa"/>
          <w:cantSplit/>
          <w:trHeight w:val="224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CB42D4">
        <w:trPr>
          <w:cantSplit/>
          <w:trHeight w:val="451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3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451"/>
        </w:trPr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trHeight w:val="219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586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451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cantSplit/>
          <w:trHeight w:val="778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42D4">
        <w:trPr>
          <w:gridAfter w:val="1"/>
          <w:wAfter w:w="1902" w:type="dxa"/>
          <w:trHeight w:val="436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Default="00CB42D4" w:rsidP="006436E5">
      <w:pPr>
        <w:rPr>
          <w:sz w:val="2"/>
          <w:szCs w:val="2"/>
        </w:rPr>
      </w:pP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CB42D4" w:rsidRPr="006436E5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«__» __________ 2019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 в дальнейшем «Организатор торгов», действующей на основании Решения Арбитражного суда Приморского края от 18.11.2016 г. по делу А51-239/2016 (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>
        <w:rPr>
          <w:rFonts w:ascii="Times New Roman" w:hAnsi="Times New Roman" w:cs="Times New Roman"/>
          <w:color w:val="333333"/>
          <w:sz w:val="24"/>
          <w:szCs w:val="24"/>
        </w:rPr>
        <w:t>лением Арбитражного суда ПК от 30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10.2018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B42D4" w:rsidRPr="001C6A53" w:rsidRDefault="00CB42D4" w:rsidP="00CB42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именуем__ в дальнейшем </w:t>
      </w:r>
      <w:r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AB2F82" w:rsidRDefault="00CB42D4" w:rsidP="00CB42D4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1.1. Заявитель обязуется перечислить на специальный счет Общества с ограниченной ответственностью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 (сокращенное наименование – 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>задаток в размере</w:t>
      </w:r>
      <w:r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10% от начальной цены лота в действующем периоде</w:t>
      </w:r>
      <w:r>
        <w:rPr>
          <w:sz w:val="24"/>
          <w:szCs w:val="24"/>
        </w:rPr>
        <w:t xml:space="preserve"> в размере____________________</w:t>
      </w:r>
      <w:r w:rsidRPr="000B2817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(</w:t>
      </w:r>
      <w:r>
        <w:rPr>
          <w:sz w:val="24"/>
          <w:szCs w:val="24"/>
        </w:rPr>
        <w:t>_____________________</w:t>
      </w:r>
      <w:r w:rsidRPr="001C6A53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1C6A53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1C6A53">
        <w:rPr>
          <w:sz w:val="24"/>
          <w:szCs w:val="24"/>
        </w:rPr>
        <w:t xml:space="preserve"> копе</w:t>
      </w:r>
      <w:r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</w:t>
      </w:r>
      <w:r>
        <w:rPr>
          <w:sz w:val="24"/>
          <w:szCs w:val="24"/>
        </w:rPr>
        <w:t>обеспечения оплаты на проводимых</w:t>
      </w:r>
      <w:r w:rsidRPr="001C6A53">
        <w:rPr>
          <w:sz w:val="24"/>
          <w:szCs w:val="24"/>
        </w:rPr>
        <w:t xml:space="preserve"> </w:t>
      </w:r>
      <w:r w:rsidRPr="00C27009">
        <w:rPr>
          <w:sz w:val="24"/>
          <w:szCs w:val="24"/>
        </w:rPr>
        <w:t>публичных электронных торгов, посредством публичного предложения, открытого по составу участников и формой представления предложений о цене по продаже имущества ООО «</w:t>
      </w:r>
      <w:proofErr w:type="spellStart"/>
      <w:r w:rsidRPr="00C27009">
        <w:rPr>
          <w:sz w:val="24"/>
          <w:szCs w:val="24"/>
        </w:rPr>
        <w:t>Витон</w:t>
      </w:r>
      <w:proofErr w:type="spellEnd"/>
      <w:r w:rsidRPr="00C27009">
        <w:rPr>
          <w:sz w:val="24"/>
          <w:szCs w:val="24"/>
        </w:rPr>
        <w:t>», находящегося в залоге у ПАО «Сбербанк России»</w:t>
      </w:r>
      <w:r w:rsidRPr="001C6A53">
        <w:rPr>
          <w:sz w:val="24"/>
          <w:szCs w:val="24"/>
        </w:rPr>
        <w:t>, Лот №</w:t>
      </w:r>
      <w:r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>
        <w:rPr>
          <w:rFonts w:eastAsia="Arial Unicode MS"/>
          <w:iCs/>
          <w:kern w:val="1"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Приморский край, г. Находка, п. Врангеля, ул. </w:t>
      </w:r>
      <w:proofErr w:type="spellStart"/>
      <w:r w:rsidRPr="00AB2F82">
        <w:rPr>
          <w:sz w:val="24"/>
          <w:szCs w:val="24"/>
        </w:rPr>
        <w:t>Первостроителей</w:t>
      </w:r>
      <w:proofErr w:type="spellEnd"/>
      <w:r w:rsidRPr="00AB2F82">
        <w:rPr>
          <w:sz w:val="24"/>
          <w:szCs w:val="24"/>
        </w:rPr>
        <w:t>, д. 2, кв. 77,  кадастровый номер: 25:31:070003:1283</w:t>
      </w:r>
      <w:r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</w:p>
    <w:p w:rsidR="00CB42D4" w:rsidRPr="001C6A53" w:rsidRDefault="00CB42D4" w:rsidP="00CB42D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вышеуказанного имущества установлена в размере </w:t>
      </w:r>
      <w:r w:rsidRPr="0045363A">
        <w:rPr>
          <w:sz w:val="24"/>
          <w:szCs w:val="24"/>
        </w:rPr>
        <w:t xml:space="preserve"> </w:t>
      </w:r>
      <w:r w:rsidR="00300CBE" w:rsidRPr="00300CBE">
        <w:rPr>
          <w:sz w:val="24"/>
          <w:szCs w:val="24"/>
        </w:rPr>
        <w:t>746 018 (семьсот сорок шесть тысяч восемнадцать) рублей 46 копеек</w:t>
      </w:r>
      <w:r w:rsidR="00300CBE" w:rsidRPr="00300CBE">
        <w:rPr>
          <w:sz w:val="24"/>
          <w:szCs w:val="24"/>
        </w:rPr>
        <w:t xml:space="preserve"> </w:t>
      </w:r>
      <w:r w:rsidRPr="00300CBE">
        <w:rPr>
          <w:sz w:val="24"/>
          <w:szCs w:val="24"/>
        </w:rPr>
        <w:t xml:space="preserve">(НДС не облагается на основании </w:t>
      </w:r>
      <w:proofErr w:type="spellStart"/>
      <w:r w:rsidRPr="00300CBE">
        <w:rPr>
          <w:sz w:val="24"/>
          <w:szCs w:val="24"/>
        </w:rPr>
        <w:t>п.п</w:t>
      </w:r>
      <w:proofErr w:type="spellEnd"/>
      <w:r w:rsidRPr="00300CBE">
        <w:rPr>
          <w:sz w:val="24"/>
          <w:szCs w:val="24"/>
        </w:rPr>
        <w:t>. 15.</w:t>
      </w:r>
      <w:r w:rsidRPr="001C6A53">
        <w:rPr>
          <w:sz w:val="24"/>
          <w:szCs w:val="24"/>
        </w:rPr>
        <w:t xml:space="preserve"> п. 2. ст. 146 НК РФ).</w:t>
      </w: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CB42D4" w:rsidRPr="001C6A53" w:rsidRDefault="00CB42D4" w:rsidP="00CB42D4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CB42D4" w:rsidRPr="00C27009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pacing w:val="-6"/>
          <w:sz w:val="24"/>
          <w:szCs w:val="24"/>
        </w:rPr>
        <w:t>до даты подведения итогов торгов соответствующего периода.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CB42D4" w:rsidRPr="001C6A53" w:rsidRDefault="00CB42D4" w:rsidP="00CB42D4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Pr="001C6A53">
        <w:rPr>
          <w:sz w:val="24"/>
          <w:szCs w:val="24"/>
        </w:rPr>
        <w:t>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CB42D4" w:rsidRPr="001C6A53" w:rsidRDefault="00CB42D4" w:rsidP="00CB42D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09">
        <w:rPr>
          <w:rFonts w:ascii="Times New Roman" w:hAnsi="Times New Roman" w:cs="Times New Roman"/>
          <w:sz w:val="24"/>
          <w:szCs w:val="24"/>
        </w:rPr>
        <w:t>В течение 5 дней с даты протокола о результатах торгов конкурсный управляющий направляет победителю предложение заключить договор купли-продажи. В течение 5 дней с даты его получения победитель обязан подписать договор купли-продажи, обеспечить его передачу конкурсному управляющему не позднее одного рабочего дня, оплатить цену продажи в течение 30 дней с даты подписания договора. Перечисленный</w:t>
      </w:r>
      <w:r w:rsidRPr="001C6A53"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:rsidR="00CB42D4" w:rsidRPr="001C6A53" w:rsidRDefault="00CB42D4" w:rsidP="00CB42D4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CB42D4" w:rsidRPr="001C6A53" w:rsidRDefault="00CB42D4" w:rsidP="00CB42D4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B42D4" w:rsidRPr="001C6A53" w:rsidRDefault="00CB42D4" w:rsidP="00CB42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B42D4" w:rsidRPr="001C6A53" w:rsidRDefault="00CB42D4" w:rsidP="00CB42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CB42D4" w:rsidRPr="001C6A53" w:rsidRDefault="00CB42D4" w:rsidP="00CB42D4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B42D4" w:rsidRPr="001C6A53" w:rsidTr="00CB507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B42D4" w:rsidRPr="001C6A53" w:rsidTr="00CB507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2D4" w:rsidRPr="001C6A53" w:rsidRDefault="00CB42D4" w:rsidP="00CB507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B42D4" w:rsidRPr="00731824" w:rsidRDefault="00CB42D4" w:rsidP="00CB42D4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p w:rsidR="00CB42D4" w:rsidRPr="00731824" w:rsidRDefault="00CB42D4" w:rsidP="00617703">
      <w:pPr>
        <w:autoSpaceDE/>
        <w:autoSpaceDN/>
        <w:spacing w:after="200" w:line="276" w:lineRule="auto"/>
        <w:rPr>
          <w:sz w:val="2"/>
          <w:szCs w:val="2"/>
        </w:rPr>
      </w:pPr>
      <w:bookmarkStart w:id="0" w:name="_GoBack"/>
      <w:bookmarkEnd w:id="0"/>
    </w:p>
    <w:sectPr w:rsidR="00CB42D4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0CBE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3684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03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47FC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485A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009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2D4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3039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22</cp:revision>
  <cp:lastPrinted>2017-08-07T05:40:00Z</cp:lastPrinted>
  <dcterms:created xsi:type="dcterms:W3CDTF">2017-08-04T02:45:00Z</dcterms:created>
  <dcterms:modified xsi:type="dcterms:W3CDTF">2019-10-10T03:17:00Z</dcterms:modified>
</cp:coreProperties>
</file>