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20463CBD" w:rsidR="008A007A" w:rsidRPr="00324B1D" w:rsidRDefault="006E1BCE" w:rsidP="008A007A">
      <w:pPr>
        <w:pStyle w:val="a3"/>
        <w:rPr>
          <w:rFonts w:ascii="Arial" w:hAnsi="Arial" w:cs="Arial"/>
          <w:szCs w:val="20"/>
        </w:rPr>
      </w:pPr>
      <w:r>
        <w:rPr>
          <w:rFonts w:ascii="Arial" w:hAnsi="Arial" w:cs="Arial"/>
          <w:szCs w:val="20"/>
        </w:rPr>
        <w:t>ДОГОВОР О ЗАДАТКЕ</w:t>
      </w:r>
      <w:r w:rsidR="006D06B1">
        <w:rPr>
          <w:rFonts w:ascii="Arial" w:hAnsi="Arial" w:cs="Arial"/>
          <w:szCs w:val="20"/>
        </w:rPr>
        <w:t xml:space="preserve"> для лотов 1-5</w:t>
      </w:r>
    </w:p>
    <w:p w14:paraId="2B9E7E82" w14:textId="77777777" w:rsidR="008A007A" w:rsidRPr="00324B1D" w:rsidRDefault="008A007A" w:rsidP="008A007A">
      <w:pPr>
        <w:rPr>
          <w:rFonts w:ascii="Arial" w:hAnsi="Arial" w:cs="Arial"/>
          <w:sz w:val="20"/>
          <w:szCs w:val="20"/>
        </w:rPr>
      </w:pPr>
    </w:p>
    <w:p w14:paraId="7A681166" w14:textId="335344D5"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201</w:t>
      </w:r>
      <w:r w:rsidR="00853799" w:rsidRPr="00271F2A">
        <w:rPr>
          <w:rFonts w:ascii="Arial" w:hAnsi="Arial" w:cs="Arial"/>
          <w:sz w:val="20"/>
          <w:szCs w:val="20"/>
        </w:rPr>
        <w:t>9</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432A730D"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6D06B1">
        <w:rPr>
          <w:rFonts w:ascii="Arial" w:hAnsi="Arial" w:cs="Arial"/>
          <w:bCs/>
          <w:sz w:val="20"/>
          <w:szCs w:val="20"/>
        </w:rPr>
        <w:t>К</w:t>
      </w:r>
      <w:r w:rsidR="006D06B1" w:rsidRPr="006D06B1">
        <w:rPr>
          <w:rFonts w:ascii="Arial" w:hAnsi="Arial" w:cs="Arial"/>
          <w:bCs/>
          <w:sz w:val="20"/>
          <w:szCs w:val="20"/>
        </w:rPr>
        <w:t>онкурсный управляющий ООО «</w:t>
      </w:r>
      <w:proofErr w:type="spellStart"/>
      <w:r w:rsidR="006D06B1" w:rsidRPr="006D06B1">
        <w:rPr>
          <w:rFonts w:ascii="Arial" w:hAnsi="Arial" w:cs="Arial"/>
          <w:bCs/>
          <w:sz w:val="20"/>
          <w:szCs w:val="20"/>
        </w:rPr>
        <w:t>Дорожно</w:t>
      </w:r>
      <w:proofErr w:type="spellEnd"/>
      <w:r w:rsidR="006D06B1" w:rsidRPr="006D06B1">
        <w:rPr>
          <w:rFonts w:ascii="Arial" w:hAnsi="Arial" w:cs="Arial"/>
          <w:bCs/>
          <w:sz w:val="20"/>
          <w:szCs w:val="20"/>
        </w:rPr>
        <w:t xml:space="preserve"> строительная компания» (ИНН 2901244510, ОГРН 1142901000549,163035, г. Архангельск, ул. </w:t>
      </w:r>
      <w:proofErr w:type="spellStart"/>
      <w:r w:rsidR="006D06B1" w:rsidRPr="006D06B1">
        <w:rPr>
          <w:rFonts w:ascii="Arial" w:hAnsi="Arial" w:cs="Arial"/>
          <w:bCs/>
          <w:sz w:val="20"/>
          <w:szCs w:val="20"/>
        </w:rPr>
        <w:t>Дежневцев</w:t>
      </w:r>
      <w:proofErr w:type="spellEnd"/>
      <w:r w:rsidR="006D06B1" w:rsidRPr="006D06B1">
        <w:rPr>
          <w:rFonts w:ascii="Arial" w:hAnsi="Arial" w:cs="Arial"/>
          <w:bCs/>
          <w:sz w:val="20"/>
          <w:szCs w:val="20"/>
        </w:rPr>
        <w:t xml:space="preserve">, д. 48, офис 31, далее - должник), </w:t>
      </w:r>
      <w:proofErr w:type="spellStart"/>
      <w:r w:rsidR="006D06B1" w:rsidRPr="006D06B1">
        <w:rPr>
          <w:rFonts w:ascii="Arial" w:hAnsi="Arial" w:cs="Arial"/>
          <w:bCs/>
          <w:sz w:val="20"/>
          <w:szCs w:val="20"/>
        </w:rPr>
        <w:t>Мошарев</w:t>
      </w:r>
      <w:proofErr w:type="spellEnd"/>
      <w:r w:rsidR="006D06B1" w:rsidRPr="006D06B1">
        <w:rPr>
          <w:rFonts w:ascii="Arial" w:hAnsi="Arial" w:cs="Arial"/>
          <w:bCs/>
          <w:sz w:val="20"/>
          <w:szCs w:val="20"/>
        </w:rPr>
        <w:t xml:space="preserve"> Виктор Федорович (ИНН 292600455246, СНИЛС 05236279452, 163046, г. Архангельск, ул. Выучейского, д. 28, офис 1), член Союза АУ СРО "Северная Столица"(194100, г. Санкт-Петербург, ул. </w:t>
      </w:r>
      <w:proofErr w:type="spellStart"/>
      <w:r w:rsidR="006D06B1" w:rsidRPr="006D06B1">
        <w:rPr>
          <w:rFonts w:ascii="Arial" w:hAnsi="Arial" w:cs="Arial"/>
          <w:bCs/>
          <w:sz w:val="20"/>
          <w:szCs w:val="20"/>
        </w:rPr>
        <w:t>Новолитовская</w:t>
      </w:r>
      <w:proofErr w:type="spellEnd"/>
      <w:r w:rsidR="006D06B1" w:rsidRPr="006D06B1">
        <w:rPr>
          <w:rFonts w:ascii="Arial" w:hAnsi="Arial" w:cs="Arial"/>
          <w:bCs/>
          <w:sz w:val="20"/>
          <w:szCs w:val="20"/>
        </w:rPr>
        <w:t>, 15А, ИНН7813175754, ОГРН 1027806876173), действующий на основании решения Арбитражного суда Архангельской области от 27.11.2018 г. по делу № А05-17027/2017</w:t>
      </w:r>
      <w:r w:rsidRPr="00324B1D">
        <w:rPr>
          <w:rFonts w:ascii="Arial" w:hAnsi="Arial" w:cs="Arial"/>
          <w:sz w:val="20"/>
          <w:szCs w:val="20"/>
        </w:rPr>
        <w:t>, именуем</w:t>
      </w:r>
      <w:r w:rsidR="006D06B1">
        <w:rPr>
          <w:rFonts w:ascii="Arial" w:hAnsi="Arial" w:cs="Arial"/>
          <w:sz w:val="20"/>
          <w:szCs w:val="20"/>
        </w:rPr>
        <w:t>ый</w:t>
      </w:r>
      <w:r w:rsidRPr="00324B1D">
        <w:rPr>
          <w:rFonts w:ascii="Arial" w:hAnsi="Arial" w:cs="Arial"/>
          <w:sz w:val="20"/>
          <w:szCs w:val="20"/>
        </w:rPr>
        <w:t xml:space="preserve"> в дальнейшем «Организатор торгов»,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A927E2">
        <w:rPr>
          <w:rFonts w:ascii="Arial" w:hAnsi="Arial" w:cs="Arial"/>
          <w:bCs/>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4B1D5230"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A927E2">
        <w:rPr>
          <w:rFonts w:ascii="Arial" w:hAnsi="Arial" w:cs="Arial"/>
          <w:sz w:val="20"/>
          <w:szCs w:val="20"/>
        </w:rPr>
        <w:t>имущества</w:t>
      </w:r>
      <w:r w:rsidR="00F33D0D" w:rsidRPr="00F33D0D">
        <w:rPr>
          <w:rFonts w:ascii="Arial" w:hAnsi="Arial" w:cs="Arial"/>
          <w:sz w:val="20"/>
          <w:szCs w:val="20"/>
        </w:rPr>
        <w:t xml:space="preserve"> </w:t>
      </w:r>
      <w:r w:rsidR="006D06B1" w:rsidRPr="006D06B1">
        <w:rPr>
          <w:rFonts w:ascii="Arial" w:hAnsi="Arial" w:cs="Arial"/>
          <w:b/>
          <w:sz w:val="20"/>
          <w:szCs w:val="20"/>
        </w:rPr>
        <w:t>ООО «</w:t>
      </w:r>
      <w:proofErr w:type="spellStart"/>
      <w:r w:rsidR="006D06B1" w:rsidRPr="006D06B1">
        <w:rPr>
          <w:rFonts w:ascii="Arial" w:hAnsi="Arial" w:cs="Arial"/>
          <w:b/>
          <w:sz w:val="20"/>
          <w:szCs w:val="20"/>
        </w:rPr>
        <w:t>Дорожно</w:t>
      </w:r>
      <w:proofErr w:type="spellEnd"/>
      <w:r w:rsidR="006D06B1" w:rsidRPr="006D06B1">
        <w:rPr>
          <w:rFonts w:ascii="Arial" w:hAnsi="Arial" w:cs="Arial"/>
          <w:b/>
          <w:sz w:val="20"/>
          <w:szCs w:val="20"/>
        </w:rPr>
        <w:t xml:space="preserve"> строительная компания»</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6D06B1">
        <w:rPr>
          <w:rFonts w:ascii="Arial" w:hAnsi="Arial" w:cs="Arial"/>
          <w:sz w:val="20"/>
          <w:szCs w:val="20"/>
        </w:rPr>
        <w:t>___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271F2A" w:rsidRPr="00271F2A">
        <w:rPr>
          <w:rFonts w:ascii="Arial" w:hAnsi="Arial" w:cs="Arial"/>
          <w:sz w:val="20"/>
          <w:szCs w:val="20"/>
        </w:rPr>
        <w:t>___________</w:t>
      </w:r>
      <w:r w:rsidR="008A007A" w:rsidRPr="00324B1D">
        <w:rPr>
          <w:rFonts w:ascii="Arial" w:hAnsi="Arial" w:cs="Arial"/>
          <w:sz w:val="20"/>
          <w:szCs w:val="20"/>
        </w:rPr>
        <w:t xml:space="preserve"> рублей (далее – Задаток), </w:t>
      </w:r>
      <w:r w:rsidR="00521374">
        <w:rPr>
          <w:rFonts w:ascii="Arial" w:hAnsi="Arial" w:cs="Arial"/>
          <w:sz w:val="20"/>
          <w:szCs w:val="20"/>
        </w:rPr>
        <w:t xml:space="preserve">что составляет </w:t>
      </w:r>
      <w:r w:rsidR="006D06B1">
        <w:rPr>
          <w:rFonts w:ascii="Arial" w:hAnsi="Arial" w:cs="Arial"/>
          <w:sz w:val="20"/>
          <w:szCs w:val="20"/>
        </w:rPr>
        <w:t>10</w:t>
      </w:r>
      <w:r w:rsidR="00521374">
        <w:rPr>
          <w:rFonts w:ascii="Arial" w:hAnsi="Arial" w:cs="Arial"/>
          <w:sz w:val="20"/>
          <w:szCs w:val="20"/>
        </w:rPr>
        <w:t xml:space="preserve">% </w:t>
      </w:r>
      <w:r w:rsidR="003B219D" w:rsidRPr="003B219D">
        <w:rPr>
          <w:rFonts w:ascii="Arial" w:hAnsi="Arial" w:cs="Arial"/>
          <w:sz w:val="20"/>
          <w:szCs w:val="20"/>
        </w:rPr>
        <w:t>от начальной цены</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6D06B1" w:rsidRPr="006D06B1">
        <w:rPr>
          <w:rFonts w:ascii="Arial" w:hAnsi="Arial" w:cs="Arial"/>
          <w:sz w:val="20"/>
          <w:szCs w:val="20"/>
        </w:rPr>
        <w:t>ООО «</w:t>
      </w:r>
      <w:proofErr w:type="spellStart"/>
      <w:r w:rsidR="006D06B1" w:rsidRPr="006D06B1">
        <w:rPr>
          <w:rFonts w:ascii="Arial" w:hAnsi="Arial" w:cs="Arial"/>
          <w:sz w:val="20"/>
          <w:szCs w:val="20"/>
        </w:rPr>
        <w:t>Дорожно</w:t>
      </w:r>
      <w:proofErr w:type="spellEnd"/>
      <w:r w:rsidR="006D06B1" w:rsidRPr="006D06B1">
        <w:rPr>
          <w:rFonts w:ascii="Arial" w:hAnsi="Arial" w:cs="Arial"/>
          <w:sz w:val="20"/>
          <w:szCs w:val="20"/>
        </w:rPr>
        <w:t xml:space="preserve"> строительная компания», ИНН 2901244510, КПП 290101001,</w:t>
      </w:r>
      <w:r w:rsidR="006D06B1">
        <w:rPr>
          <w:rFonts w:ascii="Arial" w:hAnsi="Arial" w:cs="Arial"/>
          <w:sz w:val="20"/>
          <w:szCs w:val="20"/>
        </w:rPr>
        <w:t xml:space="preserve"> </w:t>
      </w:r>
      <w:r w:rsidR="006D06B1" w:rsidRPr="006D06B1">
        <w:rPr>
          <w:rFonts w:ascii="Arial" w:hAnsi="Arial" w:cs="Arial"/>
          <w:sz w:val="20"/>
          <w:szCs w:val="20"/>
        </w:rPr>
        <w:t>р/с 40702810207200000789, Филиал Северо-Западный ПАО Банк «ФК Открытие» г. Санкт-Петербург, к/с 3010810540300000795, БИК 044030795</w:t>
      </w:r>
      <w:r w:rsidR="008A007A" w:rsidRPr="006F1CFB">
        <w:rPr>
          <w:rFonts w:ascii="Arial" w:hAnsi="Arial" w:cs="Arial"/>
          <w:sz w:val="20"/>
          <w:szCs w:val="20"/>
        </w:rPr>
        <w:t>.</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1287F1B" w14:textId="5A42BED0" w:rsidR="008A007A" w:rsidRDefault="006D06B1">
            <w:pPr>
              <w:pStyle w:val="2"/>
              <w:tabs>
                <w:tab w:val="left" w:pos="3885"/>
              </w:tabs>
              <w:jc w:val="left"/>
              <w:rPr>
                <w:rFonts w:ascii="Arial" w:hAnsi="Arial" w:cs="Arial"/>
                <w:b w:val="0"/>
                <w:sz w:val="20"/>
              </w:rPr>
            </w:pPr>
            <w:r w:rsidRPr="006D06B1">
              <w:rPr>
                <w:rFonts w:ascii="Arial" w:hAnsi="Arial" w:cs="Arial"/>
                <w:sz w:val="20"/>
              </w:rPr>
              <w:t>ООО «</w:t>
            </w:r>
            <w:proofErr w:type="spellStart"/>
            <w:r w:rsidRPr="006D06B1">
              <w:rPr>
                <w:rFonts w:ascii="Arial" w:hAnsi="Arial" w:cs="Arial"/>
                <w:sz w:val="20"/>
              </w:rPr>
              <w:t>Дорожно</w:t>
            </w:r>
            <w:proofErr w:type="spellEnd"/>
            <w:r w:rsidRPr="006D06B1">
              <w:rPr>
                <w:rFonts w:ascii="Arial" w:hAnsi="Arial" w:cs="Arial"/>
                <w:sz w:val="20"/>
              </w:rPr>
              <w:t xml:space="preserve"> строительная компания», ИНН 2901244510, КПП 290101001,</w:t>
            </w:r>
            <w:r>
              <w:rPr>
                <w:rFonts w:ascii="Arial" w:hAnsi="Arial" w:cs="Arial"/>
                <w:sz w:val="20"/>
              </w:rPr>
              <w:t xml:space="preserve"> </w:t>
            </w:r>
            <w:r w:rsidRPr="006D06B1">
              <w:rPr>
                <w:rFonts w:ascii="Arial" w:hAnsi="Arial" w:cs="Arial"/>
                <w:sz w:val="20"/>
              </w:rPr>
              <w:t>р/с 40702810207200000789, Филиал Северо-Западный ПАО Банк «ФК Открытие» г. Санкт-Петербург, к/с 3010810540300000795, БИК 044030795</w:t>
            </w:r>
            <w:r w:rsidR="00E04C49" w:rsidRPr="00E04C49">
              <w:rPr>
                <w:rFonts w:ascii="Arial" w:hAnsi="Arial" w:cs="Arial"/>
                <w:b w:val="0"/>
                <w:sz w:val="20"/>
              </w:rPr>
              <w:t xml:space="preserve"> </w:t>
            </w:r>
          </w:p>
          <w:p w14:paraId="73A2AA46" w14:textId="77777777" w:rsidR="00853CD6" w:rsidRPr="00324B1D" w:rsidRDefault="00853CD6">
            <w:pPr>
              <w:pStyle w:val="2"/>
              <w:tabs>
                <w:tab w:val="left" w:pos="3885"/>
              </w:tabs>
              <w:jc w:val="left"/>
              <w:rPr>
                <w:rFonts w:ascii="Arial" w:hAnsi="Arial" w:cs="Arial"/>
                <w:b w:val="0"/>
                <w:sz w:val="20"/>
              </w:rPr>
            </w:pPr>
          </w:p>
          <w:p w14:paraId="39A134DB" w14:textId="1D7D42FB" w:rsidR="008A007A" w:rsidRPr="00324B1D" w:rsidRDefault="00853CD6">
            <w:pPr>
              <w:pStyle w:val="2"/>
              <w:tabs>
                <w:tab w:val="left" w:pos="3885"/>
              </w:tabs>
              <w:jc w:val="left"/>
              <w:rPr>
                <w:rFonts w:ascii="Arial" w:hAnsi="Arial" w:cs="Arial"/>
                <w:sz w:val="20"/>
              </w:rPr>
            </w:pPr>
            <w:r w:rsidRPr="00A927E2">
              <w:rPr>
                <w:rFonts w:ascii="Arial" w:hAnsi="Arial" w:cs="Arial"/>
                <w:bCs w:val="0"/>
                <w:sz w:val="20"/>
              </w:rPr>
              <w:t>Конкурсный управляющий</w:t>
            </w:r>
            <w:r w:rsidR="008A007A"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1F23FB32"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w:t>
            </w:r>
            <w:r w:rsidRPr="00324B1D">
              <w:rPr>
                <w:rFonts w:ascii="Arial" w:hAnsi="Arial" w:cs="Arial"/>
                <w:sz w:val="20"/>
              </w:rPr>
              <w:t>_____ /</w:t>
            </w:r>
            <w:proofErr w:type="spellStart"/>
            <w:r w:rsidR="006D06B1">
              <w:rPr>
                <w:rFonts w:ascii="Arial" w:hAnsi="Arial" w:cs="Arial"/>
                <w:sz w:val="20"/>
              </w:rPr>
              <w:t>Мошарев</w:t>
            </w:r>
            <w:proofErr w:type="spellEnd"/>
            <w:r w:rsidR="006D06B1">
              <w:rPr>
                <w:rFonts w:ascii="Arial" w:hAnsi="Arial" w:cs="Arial"/>
                <w:sz w:val="20"/>
              </w:rPr>
              <w:t xml:space="preserve"> В.Ф.</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3FFB019B" w:rsidR="006D06B1"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p w14:paraId="66D6229E" w14:textId="79B19230" w:rsidR="00C75441" w:rsidRPr="00324B1D" w:rsidRDefault="00C75441" w:rsidP="00A32FBD">
      <w:pPr>
        <w:rPr>
          <w:rFonts w:ascii="Arial" w:hAnsi="Arial" w:cs="Arial"/>
          <w:sz w:val="20"/>
          <w:szCs w:val="20"/>
        </w:rPr>
      </w:pPr>
      <w:bookmarkStart w:id="0" w:name="_GoBack"/>
      <w:bookmarkEnd w:id="0"/>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271F2A"/>
    <w:rsid w:val="00324B1D"/>
    <w:rsid w:val="003A412B"/>
    <w:rsid w:val="003B219D"/>
    <w:rsid w:val="003F37C2"/>
    <w:rsid w:val="00521374"/>
    <w:rsid w:val="00597C0A"/>
    <w:rsid w:val="005E5D06"/>
    <w:rsid w:val="006D06B1"/>
    <w:rsid w:val="006E1BCE"/>
    <w:rsid w:val="006F1CFB"/>
    <w:rsid w:val="00705E7E"/>
    <w:rsid w:val="008136FD"/>
    <w:rsid w:val="00824351"/>
    <w:rsid w:val="00853799"/>
    <w:rsid w:val="00853CD6"/>
    <w:rsid w:val="00860E5C"/>
    <w:rsid w:val="008907DA"/>
    <w:rsid w:val="008A007A"/>
    <w:rsid w:val="00942946"/>
    <w:rsid w:val="00956778"/>
    <w:rsid w:val="009A55A1"/>
    <w:rsid w:val="00A32FBD"/>
    <w:rsid w:val="00A72028"/>
    <w:rsid w:val="00A927E2"/>
    <w:rsid w:val="00B529C4"/>
    <w:rsid w:val="00BD139B"/>
    <w:rsid w:val="00C75441"/>
    <w:rsid w:val="00D71AEB"/>
    <w:rsid w:val="00DB07BD"/>
    <w:rsid w:val="00DB68BD"/>
    <w:rsid w:val="00DF2B2F"/>
    <w:rsid w:val="00E04C49"/>
    <w:rsid w:val="00E200A3"/>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Y2rInxkrhuwumxY3Wc2uAXbyd1xYJLfbgSGoY5Gk6D0=</DigestValue>
    </Reference>
    <Reference Type="http://www.w3.org/2000/09/xmldsig#Object" URI="#idOfficeObject">
      <DigestMethod Algorithm="urn:ietf:params:xml:ns:cpxmlsec:algorithms:gostr34112012-256"/>
      <DigestValue>+5JOqGR7J/XiZin3Xu7EkC7b95vdxhp1CM5JIrbIiIM=</DigestValue>
    </Reference>
    <Reference Type="http://uri.etsi.org/01903#SignedProperties" URI="#idSignedProperties">
      <Transforms>
        <Transform Algorithm="http://www.w3.org/TR/2001/REC-xml-c14n-20010315"/>
      </Transforms>
      <DigestMethod Algorithm="urn:ietf:params:xml:ns:cpxmlsec:algorithms:gostr34112012-256"/>
      <DigestValue>+tkhbOdW/vswQGmVjHei+9IA1lv2V3J0GYqaa+iqiA0=</DigestValue>
    </Reference>
  </SignedInfo>
  <SignatureValue>QQN0/Ec8UGUDizB8JOx2T7ZkxonWvomFrbFkjDIBpX5uXnnEuyCWhS/QmiE9+iwL
4Sc90rz1tXc/CI5617yUcA==</SignatureValue>
  <KeyInfo>
    <X509Data>
      <X509Certificate>MIILNjCCCuOgAwIBAgIQQyOVAFaq/q1HrP6DBb6ZpDAKBggqhQMHAQEDAjCCAYcx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l9Ce0KAiMB4XDTE5MDUyMzA4NTMwMFoXDTIwMDUyMzA5MDMwMFowggFYMTUwMwYD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0Ywg0KDQvtGB0YHQuNC4ggsAgBqlswAAAAAAMTAdBgNVHQ4EFgQURcIa+1KJJz2X
WUoMfQu5Vrx8p0owCgYIKoUDBwEBAwIDQQD0c2VqWt+u4tMeY5EBbXgQNaioe/RK
u+/N7ySUOkXjCvGmC5LmQdbhBdjFObQdK0PuZuMLfmcBlr25D15uzO78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qsWv49pBdQ8CSMd2odiaqDJRQYI=</DigestValue>
      </Reference>
      <Reference URI="/word/fontTable.xml?ContentType=application/vnd.openxmlformats-officedocument.wordprocessingml.fontTable+xml">
        <DigestMethod Algorithm="http://www.w3.org/2000/09/xmldsig#sha1"/>
        <DigestValue>xt6XmGaFqlWiYM1QsE5NjcNL9Fk=</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WUX3naxKZY/D6Bu7/Khhd+gnfdE=</DigestValue>
      </Reference>
      <Reference URI="/word/styles.xml?ContentType=application/vnd.openxmlformats-officedocument.wordprocessingml.styles+xml">
        <DigestMethod Algorithm="http://www.w3.org/2000/09/xmldsig#sha1"/>
        <DigestValue>4YMRO7A9ZLM3zev6eHwl74GJYwQ=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2019-10-21T13:47:24Z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16.0.12026/19</OfficeVersion>
          <ApplicationVersion>16.0.12026</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2019-10-21T13:47:24Z</xd:SigningTime>
          <xd:SigningCertificate>
            <xd:Cert>
              <xd:CertDigest>
                <DigestMethod Algorithm="http://www.w3.org/2000/09/xmldsig#sha1"/>
                <DigestValue>FQsB8I1VZ+d7Wh8z5aFhfzSw+20=</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89243028213491457461955127773792999844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6873</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2019-10-21T13:47:00Z</dcterms:created>
  <dcterms:modified xsi:type="dcterms:W3CDTF">2019-10-21T13:47:00Z</dcterms:modified>
</cp:coreProperties>
</file>