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4C" w:rsidRDefault="00B2292B" w:rsidP="00BE12BF">
      <w:pPr>
        <w:jc w:val="both"/>
        <w:rPr>
          <w:sz w:val="22"/>
          <w:szCs w:val="22"/>
        </w:rPr>
      </w:pPr>
      <w:r w:rsidRPr="00D25D4C">
        <w:rPr>
          <w:sz w:val="22"/>
          <w:szCs w:val="22"/>
        </w:rPr>
        <w:t xml:space="preserve">АО «Российский аукционный дом» сообщает </w:t>
      </w:r>
      <w:r w:rsidR="009B7775" w:rsidRPr="00D25D4C">
        <w:rPr>
          <w:sz w:val="22"/>
          <w:szCs w:val="22"/>
        </w:rPr>
        <w:t>о</w:t>
      </w:r>
      <w:r w:rsidR="00935639" w:rsidRPr="00D25D4C">
        <w:rPr>
          <w:sz w:val="22"/>
          <w:szCs w:val="22"/>
        </w:rPr>
        <w:t xml:space="preserve"> внесении </w:t>
      </w:r>
      <w:r w:rsidR="009B7775" w:rsidRPr="00D25D4C">
        <w:rPr>
          <w:sz w:val="22"/>
          <w:szCs w:val="22"/>
        </w:rPr>
        <w:t>изменени</w:t>
      </w:r>
      <w:r w:rsidR="00935639" w:rsidRPr="00D25D4C">
        <w:rPr>
          <w:sz w:val="22"/>
          <w:szCs w:val="22"/>
        </w:rPr>
        <w:t xml:space="preserve">й в информационное </w:t>
      </w:r>
      <w:r w:rsidR="0053745D" w:rsidRPr="00D25D4C">
        <w:rPr>
          <w:sz w:val="22"/>
          <w:szCs w:val="22"/>
        </w:rPr>
        <w:t>сообщение по</w:t>
      </w:r>
      <w:r w:rsidR="00935639" w:rsidRPr="00D25D4C">
        <w:rPr>
          <w:sz w:val="22"/>
          <w:szCs w:val="22"/>
        </w:rPr>
        <w:t xml:space="preserve"> продаже объект</w:t>
      </w:r>
      <w:r w:rsidR="00D802EB">
        <w:rPr>
          <w:sz w:val="22"/>
          <w:szCs w:val="22"/>
        </w:rPr>
        <w:t>а</w:t>
      </w:r>
      <w:r w:rsidR="00935639" w:rsidRPr="00D25D4C">
        <w:rPr>
          <w:sz w:val="22"/>
          <w:szCs w:val="22"/>
        </w:rPr>
        <w:t xml:space="preserve"> недвижимости, являющ</w:t>
      </w:r>
      <w:r w:rsidR="00995471" w:rsidRPr="00D25D4C">
        <w:rPr>
          <w:sz w:val="22"/>
          <w:szCs w:val="22"/>
        </w:rPr>
        <w:t xml:space="preserve">егося </w:t>
      </w:r>
      <w:r w:rsidR="00935639" w:rsidRPr="00D25D4C">
        <w:rPr>
          <w:sz w:val="22"/>
          <w:szCs w:val="22"/>
        </w:rPr>
        <w:t xml:space="preserve">собственностью ПАО Сбербанк </w:t>
      </w:r>
      <w:r w:rsidR="00935639" w:rsidRPr="00D25D4C">
        <w:rPr>
          <w:bCs/>
          <w:sz w:val="22"/>
          <w:szCs w:val="22"/>
        </w:rPr>
        <w:t xml:space="preserve">(код Лота </w:t>
      </w:r>
      <w:r w:rsidR="004732E2" w:rsidRPr="004732E2">
        <w:rPr>
          <w:bCs/>
          <w:sz w:val="22"/>
          <w:szCs w:val="22"/>
        </w:rPr>
        <w:t>РАД-193024</w:t>
      </w:r>
      <w:r w:rsidR="0053745D" w:rsidRPr="00782737">
        <w:rPr>
          <w:bCs/>
          <w:sz w:val="22"/>
          <w:szCs w:val="22"/>
        </w:rPr>
        <w:t>)</w:t>
      </w:r>
      <w:r w:rsidR="0053745D" w:rsidRPr="00782737">
        <w:rPr>
          <w:sz w:val="22"/>
          <w:szCs w:val="22"/>
        </w:rPr>
        <w:t xml:space="preserve"> назначенного</w:t>
      </w:r>
      <w:r w:rsidRPr="00782737">
        <w:rPr>
          <w:sz w:val="22"/>
          <w:szCs w:val="22"/>
        </w:rPr>
        <w:t xml:space="preserve"> на </w:t>
      </w:r>
      <w:r w:rsidR="004732E2">
        <w:rPr>
          <w:b/>
          <w:sz w:val="22"/>
          <w:szCs w:val="22"/>
        </w:rPr>
        <w:t>0</w:t>
      </w:r>
      <w:r w:rsidR="00D802EB">
        <w:rPr>
          <w:b/>
          <w:sz w:val="22"/>
          <w:szCs w:val="22"/>
        </w:rPr>
        <w:t>9</w:t>
      </w:r>
      <w:r w:rsidR="00D549B7">
        <w:rPr>
          <w:b/>
          <w:sz w:val="22"/>
          <w:szCs w:val="22"/>
        </w:rPr>
        <w:t xml:space="preserve"> </w:t>
      </w:r>
      <w:r w:rsidR="004732E2">
        <w:rPr>
          <w:b/>
          <w:sz w:val="22"/>
          <w:szCs w:val="22"/>
        </w:rPr>
        <w:t>декабря</w:t>
      </w:r>
      <w:r w:rsidR="0098695D">
        <w:rPr>
          <w:b/>
          <w:sz w:val="22"/>
          <w:szCs w:val="22"/>
        </w:rPr>
        <w:t xml:space="preserve"> </w:t>
      </w:r>
      <w:r w:rsidRPr="00937740">
        <w:rPr>
          <w:b/>
          <w:sz w:val="22"/>
          <w:szCs w:val="22"/>
        </w:rPr>
        <w:t>201</w:t>
      </w:r>
      <w:r w:rsidR="00C42C4C" w:rsidRPr="00937740">
        <w:rPr>
          <w:b/>
          <w:sz w:val="22"/>
          <w:szCs w:val="22"/>
        </w:rPr>
        <w:t>9</w:t>
      </w:r>
      <w:r w:rsidRPr="00937740">
        <w:rPr>
          <w:b/>
          <w:sz w:val="22"/>
          <w:szCs w:val="22"/>
        </w:rPr>
        <w:t xml:space="preserve"> года</w:t>
      </w:r>
      <w:r w:rsidR="00C42C4C" w:rsidRPr="00937740">
        <w:rPr>
          <w:b/>
          <w:sz w:val="22"/>
          <w:szCs w:val="22"/>
        </w:rPr>
        <w:t>.</w:t>
      </w:r>
      <w:r w:rsidR="004732E2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937740" w:rsidRPr="00782737" w:rsidRDefault="00937740" w:rsidP="00BE12BF">
      <w:pPr>
        <w:jc w:val="both"/>
        <w:rPr>
          <w:sz w:val="22"/>
          <w:szCs w:val="22"/>
        </w:rPr>
      </w:pPr>
    </w:p>
    <w:p w:rsidR="00B2292B" w:rsidRPr="00782737" w:rsidRDefault="00B2292B" w:rsidP="00BE12BF">
      <w:pPr>
        <w:jc w:val="both"/>
        <w:rPr>
          <w:bCs/>
          <w:sz w:val="22"/>
          <w:szCs w:val="22"/>
        </w:rPr>
      </w:pPr>
      <w:r w:rsidRPr="00782737">
        <w:rPr>
          <w:sz w:val="22"/>
          <w:szCs w:val="22"/>
        </w:rPr>
        <w:t xml:space="preserve"> </w:t>
      </w:r>
      <w:r w:rsidR="00C42C4C" w:rsidRPr="00782737">
        <w:rPr>
          <w:b/>
          <w:i/>
          <w:sz w:val="22"/>
          <w:szCs w:val="22"/>
        </w:rPr>
        <w:t>Описание объекта продажи изложить в следующей редакции:</w:t>
      </w:r>
      <w:r w:rsidR="00995471" w:rsidRPr="00782737">
        <w:rPr>
          <w:sz w:val="22"/>
          <w:szCs w:val="22"/>
        </w:rPr>
        <w:t xml:space="preserve">  </w:t>
      </w:r>
    </w:p>
    <w:p w:rsidR="004732E2" w:rsidRPr="004732E2" w:rsidRDefault="00C42C4C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D549B7">
        <w:rPr>
          <w:sz w:val="22"/>
          <w:szCs w:val="22"/>
          <w:lang w:val="ru-RU"/>
        </w:rPr>
        <w:t xml:space="preserve">     </w:t>
      </w:r>
      <w:r w:rsidR="00937740" w:rsidRPr="00D549B7">
        <w:rPr>
          <w:b/>
          <w:sz w:val="22"/>
          <w:szCs w:val="22"/>
          <w:lang w:val="ru-RU"/>
        </w:rPr>
        <w:t>Лот 1:</w:t>
      </w:r>
      <w:r w:rsidR="00937740" w:rsidRPr="00D549B7">
        <w:rPr>
          <w:sz w:val="22"/>
          <w:szCs w:val="22"/>
          <w:lang w:val="ru-RU"/>
        </w:rPr>
        <w:t xml:space="preserve"> </w:t>
      </w:r>
      <w:proofErr w:type="gramStart"/>
      <w:r w:rsidR="004732E2" w:rsidRPr="004732E2">
        <w:rPr>
          <w:rFonts w:ascii="Times New Roman" w:hAnsi="Times New Roman"/>
          <w:sz w:val="22"/>
          <w:szCs w:val="22"/>
          <w:lang w:val="ru-RU"/>
        </w:rPr>
        <w:t>Здание, назначение: нежилое, общая площадь 331,7 кв. м, этажность: 1, в т. ч. подземных 0, адрес (местоположение) объекта:</w:t>
      </w:r>
      <w:proofErr w:type="gramEnd"/>
      <w:r w:rsidR="004732E2" w:rsidRPr="004732E2">
        <w:rPr>
          <w:rFonts w:ascii="Times New Roman" w:hAnsi="Times New Roman"/>
          <w:sz w:val="22"/>
          <w:szCs w:val="22"/>
          <w:lang w:val="ru-RU"/>
        </w:rPr>
        <w:t xml:space="preserve"> Ивановская область, г. Кинешма, ул. Гагарина, д. 20а с кадастровым номером 37:25:010483:973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Существующие ограничения (обременения) права: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- краткосрочный договор аренды №01-02-2018-СРБ от 05.12.2018 с ООО «Сбербанк-сервис». Нежилые помещения (далее – Помещение) общей площадью 42,9 кв. м., расположенные  на 1 этаже в здании. Помещение включает в себя выделенные в натуре и фактически передаваемые помещения № 22,18 общей площадью 42,9 кв. м. расположенные на 1 этаже здания: срок с 05.12.2018 г. на 11 месяцев с возможностью пролонгации;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Объект находится на земельном участке общей площадью 723 кв. м. с кадастровым номером 37:25:010483:17. Категория земель: земли населенных пунктов. Разрешенное использование: для размещения нежилого здания. Земельный участок используется Доверителем по Договору аренды земельного участка № 1744 от 23.07.1999 г. заключенному с Комитетом по управлению муниципальным имуществом городского округа Кинешма; срок с 23.07.1999 г. на неопределенный срок.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Одновременно с передачей права собственности на Объект к Покупателю переходит право аренды Земельного участка. Переоформление прав на земельный участок осуществляется в установленном законодательством Российской Федерации порядке.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Существенное условие продажи Объекта: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Доверитель и Покупатель, обязуются одновременно с заключением Договора купли-продажи недвижимого имущества с последующей арендой данного имущества (с обратной арендой), в день заключения Договора, подписать договор долгосрочной аренды помещений, общей площадью не более 207,6 кв. м, в т. ч.: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- 1-й этаж, помещения № 1, 2, 3, 4, 5, 6, 7, 8, 9, 10, 19, 20  площадью не более  207,6 кв. м.;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по адресу: Ивановская область, г. Кинешма, ул. Гагарина, д. 20А и фактически </w:t>
      </w:r>
      <w:proofErr w:type="gramStart"/>
      <w:r w:rsidRPr="004732E2">
        <w:rPr>
          <w:rFonts w:ascii="Times New Roman" w:hAnsi="Times New Roman"/>
          <w:sz w:val="22"/>
          <w:szCs w:val="22"/>
          <w:lang w:val="ru-RU"/>
        </w:rPr>
        <w:t>занимаемых</w:t>
      </w:r>
      <w:proofErr w:type="gramEnd"/>
      <w:r w:rsidRPr="004732E2">
        <w:rPr>
          <w:rFonts w:ascii="Times New Roman" w:hAnsi="Times New Roman"/>
          <w:sz w:val="22"/>
          <w:szCs w:val="22"/>
          <w:lang w:val="ru-RU"/>
        </w:rPr>
        <w:t xml:space="preserve"> Продавцом, по форме договора аренды, приведенной в Приложении № 3 к настоящему Договору.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Арендная  плата  за пользование помещениями устанавливается: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-  1-й этаж, помещения № 1, 2, 3, 4, 5, 6, 7, 8, 9, 10, 19, 20 (площадью не более 207,6 кв. м.) из расчета  не более 3 336 (три тысячи триста тридцать шесть) рублей 00 копеек, с учетом НДС 20% за 1 кв. м в год;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Арендная плата включает в себя платежи за пользование помещением, соответствующей частью земельного участка пропорционально занимаемой площади и услуги по эксплуатации и техническому обслуживанию систем жизнеобеспечения здания/помещения. Коммунальные услуги (пользование электроэнергией, водо-теплоснабжением и канализацией) оплачиваются Доверителем отдельно на основании выставленных Покупателем счетов на оплату соответствующего вида коммунальных услуг на основании показаний счетчиков и платежных </w:t>
      </w:r>
      <w:proofErr w:type="gramStart"/>
      <w:r w:rsidRPr="004732E2">
        <w:rPr>
          <w:rFonts w:ascii="Times New Roman" w:hAnsi="Times New Roman"/>
          <w:sz w:val="22"/>
          <w:szCs w:val="22"/>
          <w:lang w:val="ru-RU"/>
        </w:rPr>
        <w:t>документов</w:t>
      </w:r>
      <w:proofErr w:type="gramEnd"/>
      <w:r w:rsidRPr="004732E2">
        <w:rPr>
          <w:rFonts w:ascii="Times New Roman" w:hAnsi="Times New Roman"/>
          <w:sz w:val="22"/>
          <w:szCs w:val="22"/>
          <w:lang w:val="ru-RU"/>
        </w:rPr>
        <w:t xml:space="preserve"> снабжающих и обслуживающих организаций по действующим тарифам и нормативам, без каких-либо дополнительных начислений со стороны Покупателя.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После осуществления Доверителем строительно-монтажных работ (СМР) по реконструкции, перепланировки Объекта, Доверитель уведомляет Покупателя о завершении СМР в течени</w:t>
      </w:r>
      <w:proofErr w:type="gramStart"/>
      <w:r w:rsidRPr="004732E2">
        <w:rPr>
          <w:rFonts w:ascii="Times New Roman" w:hAnsi="Times New Roman"/>
          <w:sz w:val="22"/>
          <w:szCs w:val="22"/>
          <w:lang w:val="ru-RU"/>
        </w:rPr>
        <w:t>и</w:t>
      </w:r>
      <w:proofErr w:type="gramEnd"/>
      <w:r w:rsidRPr="004732E2">
        <w:rPr>
          <w:rFonts w:ascii="Times New Roman" w:hAnsi="Times New Roman"/>
          <w:sz w:val="22"/>
          <w:szCs w:val="22"/>
          <w:lang w:val="ru-RU"/>
        </w:rPr>
        <w:t xml:space="preserve"> 5 (пяти) рабочих после завершения работ.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После завершения Доверителем строительно-монтажных работ Покупатель обязуется самостоятельно за свой счет, не позднее 30 (тридцати) календарных дней от даты уведомления, выполнить техническую документацию (технический план) на Объект и предоставить ее на регистрацию в органы, осуществляющие государственный кадастровый учет (РОСРЕЕСТР).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О дате регистрации технической документации Покупатель уведомляет Доверителя в течени</w:t>
      </w:r>
      <w:proofErr w:type="gramStart"/>
      <w:r w:rsidRPr="004732E2">
        <w:rPr>
          <w:rFonts w:ascii="Times New Roman" w:hAnsi="Times New Roman"/>
          <w:sz w:val="22"/>
          <w:szCs w:val="22"/>
          <w:lang w:val="ru-RU"/>
        </w:rPr>
        <w:t>и</w:t>
      </w:r>
      <w:proofErr w:type="gramEnd"/>
      <w:r w:rsidRPr="004732E2">
        <w:rPr>
          <w:rFonts w:ascii="Times New Roman" w:hAnsi="Times New Roman"/>
          <w:sz w:val="22"/>
          <w:szCs w:val="22"/>
          <w:lang w:val="ru-RU"/>
        </w:rPr>
        <w:t xml:space="preserve"> 5 (пяти) календарных дней с момента получения выписки ЕГРН. После регистрации актуальной технической документации на Объект в </w:t>
      </w:r>
      <w:proofErr w:type="spellStart"/>
      <w:r w:rsidRPr="004732E2">
        <w:rPr>
          <w:rFonts w:ascii="Times New Roman" w:hAnsi="Times New Roman"/>
          <w:sz w:val="22"/>
          <w:szCs w:val="22"/>
          <w:lang w:val="ru-RU"/>
        </w:rPr>
        <w:t>Росреестре</w:t>
      </w:r>
      <w:proofErr w:type="spellEnd"/>
      <w:r w:rsidRPr="004732E2">
        <w:rPr>
          <w:rFonts w:ascii="Times New Roman" w:hAnsi="Times New Roman"/>
          <w:sz w:val="22"/>
          <w:szCs w:val="22"/>
          <w:lang w:val="ru-RU"/>
        </w:rPr>
        <w:t xml:space="preserve"> Доверитель и Покупатель, обязуются, в случае необходимости, в 10-ти </w:t>
      </w:r>
      <w:proofErr w:type="spellStart"/>
      <w:r w:rsidRPr="004732E2">
        <w:rPr>
          <w:rFonts w:ascii="Times New Roman" w:hAnsi="Times New Roman"/>
          <w:sz w:val="22"/>
          <w:szCs w:val="22"/>
          <w:lang w:val="ru-RU"/>
        </w:rPr>
        <w:t>дневный</w:t>
      </w:r>
      <w:proofErr w:type="spellEnd"/>
      <w:r w:rsidRPr="004732E2">
        <w:rPr>
          <w:rFonts w:ascii="Times New Roman" w:hAnsi="Times New Roman"/>
          <w:sz w:val="22"/>
          <w:szCs w:val="22"/>
          <w:lang w:val="ru-RU"/>
        </w:rPr>
        <w:t xml:space="preserve"> срок от даты </w:t>
      </w:r>
      <w:r w:rsidRPr="004732E2">
        <w:rPr>
          <w:rFonts w:ascii="Times New Roman" w:hAnsi="Times New Roman"/>
          <w:sz w:val="22"/>
          <w:szCs w:val="22"/>
          <w:lang w:val="ru-RU"/>
        </w:rPr>
        <w:lastRenderedPageBreak/>
        <w:t>уведомления Покупателя заключить Дополнительное соглашение к Договору долгосрочной аренды помещений, включив в него сведения об уточненной площади Объекта и величине арендной ставки с учетом  следующих условий: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- площадь обратной аренды не более 207,6 </w:t>
      </w:r>
      <w:proofErr w:type="spellStart"/>
      <w:r w:rsidRPr="004732E2">
        <w:rPr>
          <w:rFonts w:ascii="Times New Roman" w:hAnsi="Times New Roman"/>
          <w:sz w:val="22"/>
          <w:szCs w:val="22"/>
          <w:lang w:val="ru-RU"/>
        </w:rPr>
        <w:t>кв</w:t>
      </w:r>
      <w:proofErr w:type="gramStart"/>
      <w:r w:rsidRPr="004732E2">
        <w:rPr>
          <w:rFonts w:ascii="Times New Roman" w:hAnsi="Times New Roman"/>
          <w:sz w:val="22"/>
          <w:szCs w:val="22"/>
          <w:lang w:val="ru-RU"/>
        </w:rPr>
        <w:t>.м</w:t>
      </w:r>
      <w:proofErr w:type="spellEnd"/>
      <w:proofErr w:type="gramEnd"/>
      <w:r w:rsidRPr="004732E2">
        <w:rPr>
          <w:rFonts w:ascii="Times New Roman" w:hAnsi="Times New Roman"/>
          <w:sz w:val="22"/>
          <w:szCs w:val="22"/>
          <w:lang w:val="ru-RU"/>
        </w:rPr>
        <w:t>, в т. ч.: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- 1-й этаж, помещения № 1, 2, 3, 4, 5, 6, 7, 8, 9, 10, 19, 20  площадью не более  207,6 кв. м.;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по адресу: Ивановская область, г. Кинешма, ул. Гагарина, д. 20А.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Арендная  плата  за пользование помещениями устанавливается: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-  1-й этаж, помещения № 1, 2, 3, 4, 5, 6, 7, 8, 9, 10, 19, 20 (площадью не более 207,6 кв. м.) из расчета  не более 3 336 (три тысячи триста тридцать шесть) рублей 00 копеек, с учетом НДС 20% за 1 кв. м в год;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Площадь аренды может быть изменена в одностороннем внесудебном порядке по требованию Доверителя при условии письменного уведомления Доверителя не позднее, чем за 2 (два) месяца, без применения Арендодателем штрафных санкций.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 xml:space="preserve">Индексация арендной платы по соглашению сторон - не чаще одного раза в год, начиная с третьего года срока аренды, согласно индексу потребительских цен за прошедший календарный год, публикуемому на официальном сайте Федеральной службы государственной статистики Российской Федерации www.gks.ru, но не более чем на 5 (пять) %.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Срок аренды - не менее 10 лет с возможностью его пролонгации по соглашению Сторон и возможностью досрочного расторжения в одностороннем внесудебном порядке по требованию Доверителя при условии письменного уведомления Арендодателя не позднее, чем за 2 (два) месяца до даты расторжения договора, без применения Арендодателем штрафных санкций.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Покупатель обязуется: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1)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 xml:space="preserve">Не нарушать своими действиями работоспособность инженерных систем жизнеобеспечения (ИСЖ) помещений, арендуемых Доверителем, или наносить этим системам и их элементам повреждения.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2)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 xml:space="preserve">Соблюдать правила эксплуатации ИСЖ помещений, арендуемых Доверителем,  в зоне своей ответственности и незамедлительно сообщать обо всех нарушениях в работе ИСЖ Доверителю.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3)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>Гарантировать целостность информационных кабельных систем Доверителя, которые распределены по Объекту: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4)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 xml:space="preserve">Со стороны Покупателя не должно быть препятствий при проведении работ провайдерами, которых выбрал банк, по прокладке кабелей внутри и снаружи здания для нужд банка.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5)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>Размещение оборудования и информационных кабельных систем Покупателя и сторонних организаций в помещениях банка не допускается.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6)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>Покупателем должен быть обеспечен круглосуточный доступ для сотрудников Доверителя, выполняющих свои должностные обязанности, в помещениях Объекта, к местам прохождения кабельных систем, к элементам ИСЖ.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7)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 xml:space="preserve"> Покупателем должен быть обеспечен круглосуточный доступ для специалистов операторов связи и обслуживающих организаций для проведения аварийно-восстановительных и плановых работ в помещениях Объекта, к местам прохождения кабельных систем, к элементам ИСЖ в сопровождении ответственного сотрудника Доверителя. 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8)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>Доступ посторонних лиц, включая Покупателя и его представителей, в помещениях Объекта без сопровождения ответственного сотрудника Доверителя запрещен.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9)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>Покупатель должен гарантировать целостность и не должен нарушать работоспособность  элементов систем ОПС и ТСВ помещений банка размещенных снаружи периметра Объекта.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10)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>Покупатель должен соблюдать требования пожарной безопасности.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11)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>Покупатель должен обеспечить свободный доступ сотрудникам Продавца, до момента завершения СМР, в помещения 14,15 Объекта (данные помещения являются местами общего пользования);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12)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 xml:space="preserve">Покупатель обязуется не размещать в помещениях, в котором Продавцом организована зона обслуживания клиентов в режиме 24х7, рабочие места, устройства </w:t>
      </w:r>
      <w:r w:rsidRPr="004732E2">
        <w:rPr>
          <w:rFonts w:ascii="Times New Roman" w:hAnsi="Times New Roman"/>
          <w:sz w:val="22"/>
          <w:szCs w:val="22"/>
          <w:lang w:val="ru-RU"/>
        </w:rPr>
        <w:lastRenderedPageBreak/>
        <w:t xml:space="preserve">самообслуживания и иное оборудование сторонних коммерческих банков, страховых и </w:t>
      </w:r>
      <w:proofErr w:type="spellStart"/>
      <w:r w:rsidRPr="004732E2">
        <w:rPr>
          <w:rFonts w:ascii="Times New Roman" w:hAnsi="Times New Roman"/>
          <w:sz w:val="22"/>
          <w:szCs w:val="22"/>
          <w:lang w:val="ru-RU"/>
        </w:rPr>
        <w:t>микрофинансовых</w:t>
      </w:r>
      <w:proofErr w:type="spellEnd"/>
      <w:r w:rsidRPr="004732E2">
        <w:rPr>
          <w:rFonts w:ascii="Times New Roman" w:hAnsi="Times New Roman"/>
          <w:sz w:val="22"/>
          <w:szCs w:val="22"/>
          <w:lang w:val="ru-RU"/>
        </w:rPr>
        <w:t xml:space="preserve"> компаний.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13)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 xml:space="preserve">Покупатель обязуется не размещать в </w:t>
      </w:r>
      <w:proofErr w:type="gramStart"/>
      <w:r w:rsidRPr="004732E2">
        <w:rPr>
          <w:rFonts w:ascii="Times New Roman" w:hAnsi="Times New Roman"/>
          <w:sz w:val="22"/>
          <w:szCs w:val="22"/>
          <w:lang w:val="ru-RU"/>
        </w:rPr>
        <w:t>помещениях</w:t>
      </w:r>
      <w:proofErr w:type="gramEnd"/>
      <w:r w:rsidRPr="004732E2">
        <w:rPr>
          <w:rFonts w:ascii="Times New Roman" w:hAnsi="Times New Roman"/>
          <w:sz w:val="22"/>
          <w:szCs w:val="22"/>
          <w:lang w:val="ru-RU"/>
        </w:rPr>
        <w:t xml:space="preserve"> в котором Продавцом организована зона обслуживания клиентов в режиме 24х7, любую информацию рекламного, социального или навигационного характера, не относящуюся к деятельности ПАО Сбербанк.</w:t>
      </w:r>
    </w:p>
    <w:p w:rsidR="004732E2" w:rsidRPr="004732E2" w:rsidRDefault="004732E2" w:rsidP="004732E2">
      <w:pPr>
        <w:pStyle w:val="a5"/>
        <w:ind w:right="-57"/>
        <w:jc w:val="both"/>
        <w:rPr>
          <w:rFonts w:ascii="Times New Roman" w:hAnsi="Times New Roman"/>
          <w:sz w:val="22"/>
          <w:szCs w:val="22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14)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>Не размещать на Объекте игровые столы, игровые автоматы, кассы тотализаторов, кассы букмекерских контор и иное игровое оборудование.</w:t>
      </w:r>
    </w:p>
    <w:p w:rsidR="00937740" w:rsidRDefault="004732E2" w:rsidP="004732E2">
      <w:pPr>
        <w:pStyle w:val="a5"/>
        <w:ind w:right="-57"/>
        <w:jc w:val="both"/>
        <w:rPr>
          <w:rFonts w:asciiTheme="minorHAnsi" w:hAnsiTheme="minorHAnsi"/>
          <w:lang w:val="ru-RU"/>
        </w:rPr>
      </w:pPr>
      <w:r w:rsidRPr="004732E2">
        <w:rPr>
          <w:rFonts w:ascii="Times New Roman" w:hAnsi="Times New Roman"/>
          <w:sz w:val="22"/>
          <w:szCs w:val="22"/>
          <w:lang w:val="ru-RU"/>
        </w:rPr>
        <w:t>15)</w:t>
      </w:r>
      <w:r w:rsidRPr="004732E2">
        <w:rPr>
          <w:rFonts w:ascii="Times New Roman" w:hAnsi="Times New Roman"/>
          <w:sz w:val="22"/>
          <w:szCs w:val="22"/>
          <w:lang w:val="ru-RU"/>
        </w:rPr>
        <w:tab/>
        <w:t>Не размещать на Объекте точки, связанные с распространением алкогольной продукцией.</w:t>
      </w:r>
    </w:p>
    <w:p w:rsidR="00D549B7" w:rsidRPr="0098695D" w:rsidRDefault="00D549B7" w:rsidP="00D549B7">
      <w:pPr>
        <w:pStyle w:val="a5"/>
        <w:ind w:left="0" w:right="-57"/>
        <w:jc w:val="both"/>
        <w:rPr>
          <w:rFonts w:asciiTheme="minorHAnsi" w:hAnsiTheme="minorHAnsi"/>
          <w:b/>
          <w:sz w:val="22"/>
          <w:szCs w:val="22"/>
          <w:lang w:val="ru-RU"/>
        </w:rPr>
      </w:pPr>
    </w:p>
    <w:p w:rsidR="006A1763" w:rsidRPr="00782737" w:rsidRDefault="006A1763" w:rsidP="006A1763">
      <w:pPr>
        <w:autoSpaceDE w:val="0"/>
        <w:autoSpaceDN w:val="0"/>
        <w:adjustRightInd w:val="0"/>
        <w:ind w:firstLine="708"/>
        <w:jc w:val="both"/>
        <w:rPr>
          <w:rFonts w:eastAsia="NewtonC"/>
          <w:sz w:val="22"/>
          <w:szCs w:val="22"/>
        </w:rPr>
      </w:pPr>
      <w:r w:rsidRPr="00782737">
        <w:rPr>
          <w:rFonts w:eastAsia="NewtonC"/>
          <w:sz w:val="22"/>
          <w:szCs w:val="22"/>
        </w:rPr>
        <w:t xml:space="preserve">Подробная информация о проведении Электронного аукциона размещена </w:t>
      </w:r>
      <w:r w:rsidRPr="00782737">
        <w:rPr>
          <w:bCs/>
          <w:sz w:val="22"/>
          <w:szCs w:val="22"/>
        </w:rPr>
        <w:t xml:space="preserve">на электронной торговой площадке АО «Российский аукционный дом» по адресу </w:t>
      </w:r>
      <w:hyperlink r:id="rId6" w:history="1">
        <w:r w:rsidRPr="00782737">
          <w:rPr>
            <w:rStyle w:val="a4"/>
            <w:bCs/>
            <w:sz w:val="22"/>
            <w:szCs w:val="22"/>
          </w:rPr>
          <w:t>www.lot-online.ru</w:t>
        </w:r>
      </w:hyperlink>
      <w:r w:rsidRPr="00782737">
        <w:rPr>
          <w:bCs/>
          <w:sz w:val="22"/>
          <w:szCs w:val="22"/>
        </w:rPr>
        <w:t xml:space="preserve">,   а также на  интернет- сайте АО «Российский аукционный дом» </w:t>
      </w:r>
      <w:hyperlink r:id="rId7" w:history="1">
        <w:r w:rsidRPr="00782737">
          <w:rPr>
            <w:rStyle w:val="a4"/>
            <w:bCs/>
            <w:sz w:val="22"/>
            <w:szCs w:val="22"/>
          </w:rPr>
          <w:t>www.auction-house.ru</w:t>
        </w:r>
      </w:hyperlink>
    </w:p>
    <w:p w:rsidR="00EF6C2C" w:rsidRDefault="00EF6C2C" w:rsidP="00EF6C2C">
      <w:pPr>
        <w:pStyle w:val="a3"/>
        <w:widowControl w:val="0"/>
        <w:ind w:left="0" w:right="-1" w:firstLine="720"/>
        <w:rPr>
          <w:sz w:val="22"/>
          <w:szCs w:val="22"/>
        </w:rPr>
      </w:pPr>
    </w:p>
    <w:p w:rsidR="00EE396B" w:rsidRPr="008539ED" w:rsidRDefault="00EE396B" w:rsidP="00EE396B">
      <w:pPr>
        <w:pStyle w:val="a3"/>
        <w:widowControl w:val="0"/>
        <w:ind w:left="0" w:right="-1" w:firstLine="720"/>
        <w:rPr>
          <w:b/>
        </w:rPr>
      </w:pPr>
    </w:p>
    <w:p w:rsidR="008539ED" w:rsidRPr="008539ED" w:rsidRDefault="008539ED" w:rsidP="00BB4766">
      <w:pPr>
        <w:ind w:firstLine="709"/>
        <w:rPr>
          <w:b/>
        </w:rPr>
      </w:pPr>
    </w:p>
    <w:sectPr w:rsidR="008539ED" w:rsidRPr="0085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3179"/>
    <w:multiLevelType w:val="hybridMultilevel"/>
    <w:tmpl w:val="57D062BE"/>
    <w:lvl w:ilvl="0" w:tplc="96280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229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31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0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C050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79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901B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A475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ED8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2E067CF"/>
    <w:multiLevelType w:val="hybridMultilevel"/>
    <w:tmpl w:val="88BAD0C0"/>
    <w:lvl w:ilvl="0" w:tplc="54DC0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125C9D"/>
    <w:rsid w:val="00140D7A"/>
    <w:rsid w:val="001438BC"/>
    <w:rsid w:val="001466DC"/>
    <w:rsid w:val="001958B7"/>
    <w:rsid w:val="001C438F"/>
    <w:rsid w:val="001D2BBF"/>
    <w:rsid w:val="001E6D42"/>
    <w:rsid w:val="0021566A"/>
    <w:rsid w:val="00270A21"/>
    <w:rsid w:val="00275B75"/>
    <w:rsid w:val="00297E26"/>
    <w:rsid w:val="002E63E6"/>
    <w:rsid w:val="0033226F"/>
    <w:rsid w:val="0034675B"/>
    <w:rsid w:val="00357657"/>
    <w:rsid w:val="00367B67"/>
    <w:rsid w:val="00376F0D"/>
    <w:rsid w:val="003D60DD"/>
    <w:rsid w:val="004732E2"/>
    <w:rsid w:val="004763A5"/>
    <w:rsid w:val="00483566"/>
    <w:rsid w:val="004936F8"/>
    <w:rsid w:val="004A24DC"/>
    <w:rsid w:val="0053745D"/>
    <w:rsid w:val="005A7674"/>
    <w:rsid w:val="00681534"/>
    <w:rsid w:val="006A1763"/>
    <w:rsid w:val="006B44B9"/>
    <w:rsid w:val="006E2B14"/>
    <w:rsid w:val="007117B4"/>
    <w:rsid w:val="00782737"/>
    <w:rsid w:val="008539ED"/>
    <w:rsid w:val="008D1B43"/>
    <w:rsid w:val="00904F8F"/>
    <w:rsid w:val="00920E4F"/>
    <w:rsid w:val="009327C0"/>
    <w:rsid w:val="00935639"/>
    <w:rsid w:val="00937740"/>
    <w:rsid w:val="0095788F"/>
    <w:rsid w:val="0098695D"/>
    <w:rsid w:val="00995471"/>
    <w:rsid w:val="009B7775"/>
    <w:rsid w:val="009B7A34"/>
    <w:rsid w:val="009E41C5"/>
    <w:rsid w:val="00A37F9A"/>
    <w:rsid w:val="00AB14A7"/>
    <w:rsid w:val="00AD7928"/>
    <w:rsid w:val="00B2292B"/>
    <w:rsid w:val="00B32ECC"/>
    <w:rsid w:val="00B5096A"/>
    <w:rsid w:val="00B562B9"/>
    <w:rsid w:val="00B63A21"/>
    <w:rsid w:val="00B94918"/>
    <w:rsid w:val="00BB4766"/>
    <w:rsid w:val="00BC21B3"/>
    <w:rsid w:val="00BD5000"/>
    <w:rsid w:val="00BE12BF"/>
    <w:rsid w:val="00C133C6"/>
    <w:rsid w:val="00C42C4C"/>
    <w:rsid w:val="00CA4EDE"/>
    <w:rsid w:val="00D25D4C"/>
    <w:rsid w:val="00D372A7"/>
    <w:rsid w:val="00D42F46"/>
    <w:rsid w:val="00D549B7"/>
    <w:rsid w:val="00D802EB"/>
    <w:rsid w:val="00DD53F7"/>
    <w:rsid w:val="00E27222"/>
    <w:rsid w:val="00E27FA1"/>
    <w:rsid w:val="00E44D38"/>
    <w:rsid w:val="00E54D00"/>
    <w:rsid w:val="00E564AD"/>
    <w:rsid w:val="00E71ACA"/>
    <w:rsid w:val="00EA78C8"/>
    <w:rsid w:val="00ED5DF0"/>
    <w:rsid w:val="00EE396B"/>
    <w:rsid w:val="00EE57FD"/>
    <w:rsid w:val="00EF6C2C"/>
    <w:rsid w:val="00FA7C9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04F8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2">
    <w:name w:val="Body Text Indent 2"/>
    <w:basedOn w:val="a"/>
    <w:link w:val="20"/>
    <w:rsid w:val="00B94918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B9491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F6C2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F6C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44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44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 Знак"/>
    <w:basedOn w:val="a"/>
    <w:rsid w:val="009B777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b">
    <w:name w:val="annotation reference"/>
    <w:basedOn w:val="a0"/>
    <w:uiPriority w:val="99"/>
    <w:semiHidden/>
    <w:unhideWhenUsed/>
    <w:rsid w:val="00ED5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D5DF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D5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5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D5D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0">
    <w:name w:val="Знак Знак"/>
    <w:basedOn w:val="a"/>
    <w:rsid w:val="0053745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6/sJZOm+aVv5t67xnFI2IWLwgCmi7wO2HAFElfU6rC4=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VyKS43dlvmU9TtL5+13XAbc1EIxkwUaahoD9kF/v5Ck=</DigestValue>
    </Reference>
  </SignedInfo>
  <SignatureValue>vcy1bbnJKZWq9hwfWNRIdZXRCJA930cgDKHscO79luuy9E42eMQPVatmRP8vaKvA
/M8Xt+gdeHYqTKimLnQ9pg==</SignatureValue>
  <KeyInfo>
    <X509Data>
      <X509Certificate>MIIMrjCCDFugAwIBAgIQHyHhCtN+xYDpEYRJ08fu0zAKBggqhQMHAQEDAjCCAYcx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l9Ce0KAiMB4XDTE5MDMxODEzNDA1M1oXDTIwMDMxODEzNTA1M1owggJNMUUwQwYD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UXQMmI1PfxYSv1FusJyXeTYmVdQ=</DigestValue>
      </Reference>
      <Reference URI="/word/document.xml?ContentType=application/vnd.openxmlformats-officedocument.wordprocessingml.document.main+xml">
        <DigestMethod Algorithm="http://www.w3.org/2000/09/xmldsig#sha1"/>
        <DigestValue>dha/mDXN/By8bf2iyTQn9iD7lvg=</DigestValue>
      </Reference>
      <Reference URI="/word/fontTable.xml?ContentType=application/vnd.openxmlformats-officedocument.wordprocessingml.fontTable+xml">
        <DigestMethod Algorithm="http://www.w3.org/2000/09/xmldsig#sha1"/>
        <DigestValue>Q5XjKON8sZNIeoWF1aH0Fgjr8RE=</DigestValue>
      </Reference>
      <Reference URI="/word/numbering.xml?ContentType=application/vnd.openxmlformats-officedocument.wordprocessingml.numbering+xml">
        <DigestMethod Algorithm="http://www.w3.org/2000/09/xmldsig#sha1"/>
        <DigestValue>jEPqxEMAh3DrF0zqRCLlvZU6WgA=</DigestValue>
      </Reference>
      <Reference URI="/word/settings.xml?ContentType=application/vnd.openxmlformats-officedocument.wordprocessingml.settings+xml">
        <DigestMethod Algorithm="http://www.w3.org/2000/09/xmldsig#sha1"/>
        <DigestValue>6p45NIHmhqoXGYnBlOD/CATSIoc=</DigestValue>
      </Reference>
      <Reference URI="/word/styles.xml?ContentType=application/vnd.openxmlformats-officedocument.wordprocessingml.styles+xml">
        <DigestMethod Algorithm="http://www.w3.org/2000/09/xmldsig#sha1"/>
        <DigestValue>GaNXKjDhf3V/Fv7IFgqss7Ey/gc=</DigestValue>
      </Reference>
      <Reference URI="/word/stylesWithEffects.xml?ContentType=application/vnd.ms-word.stylesWithEffects+xml">
        <DigestMethod Algorithm="http://www.w3.org/2000/09/xmldsig#sha1"/>
        <DigestValue>vGr9RR3q0YDsBgQ4G3uLdCySgAo=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1Fpb+0DUx2aUmHNaMgX+1e73Fi4=</DigestValue>
      </Reference>
    </Manifest>
    <SignatureProperties>
      <SignatureProperty Id="idSignatureTime" Target="#idPackageSignature">
        <mdssi:SignatureTime>
          <mdssi:Format>YYYY-MM-DDThh:mm:ssTZD</mdssi:Format>
          <mdssi:Value>2019-11-26T13:55:50Z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2019-11-26T13:55:50Z</xd:SigningTime>
          <xd:SigningCertificate>
            <xd:Cert>
              <xd:CertDigest>
                <DigestMethod Algorithm="http://www.w3.org/2000/09/xmldsig#sha1"/>
                <DigestValue>4ifL9vuwo94YQVg290DbCR8MA2g=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41381978065561082549998258784467152595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16</cp:revision>
  <dcterms:created xsi:type="dcterms:W3CDTF">2019-02-25T11:32:00Z</dcterms:created>
  <dcterms:modified xsi:type="dcterms:W3CDTF">2019-11-26T13:37:00Z</dcterms:modified>
</cp:coreProperties>
</file>