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6068D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  <w:r w:rsidRPr="00323D4C">
        <w:rPr>
          <w:sz w:val="22"/>
          <w:szCs w:val="22"/>
        </w:rPr>
        <w:t xml:space="preserve"> «</w:t>
      </w:r>
      <w:proofErr w:type="spellStart"/>
      <w:r w:rsidRPr="00323D4C">
        <w:rPr>
          <w:sz w:val="22"/>
          <w:szCs w:val="22"/>
        </w:rPr>
        <w:t>АктивКапитал</w:t>
      </w:r>
      <w:proofErr w:type="spellEnd"/>
      <w:r w:rsidRPr="00323D4C">
        <w:rPr>
          <w:sz w:val="22"/>
          <w:szCs w:val="22"/>
        </w:rPr>
        <w:t xml:space="preserve"> Банк» (АО «АК Банк»</w:t>
      </w:r>
      <w:r w:rsidRPr="00E0739C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56068D">
        <w:rPr>
          <w:sz w:val="22"/>
          <w:szCs w:val="22"/>
        </w:rPr>
        <w:t>Арбитражного суда Самарской области от 28 мая 2018 г. по делу № А55-10304/2018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68D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068D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C773-036C-4844-AB06-0F9BFAF81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A9EF5-2F05-415C-8591-1868E62C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1516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2019-09-19T08:21:00Z</dcterms:modified>
</cp:coreProperties>
</file>