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3E7185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  <w:r w:rsidR="00411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Ярославской</w:t>
      </w:r>
      <w:r w:rsidR="008D5B1A">
        <w:rPr>
          <w:rFonts w:ascii="Times New Roman" w:eastAsia="Calibri" w:hAnsi="Times New Roman" w:cs="Times New Roman"/>
          <w:sz w:val="24"/>
          <w:szCs w:val="24"/>
        </w:rPr>
        <w:t xml:space="preserve"> области от 01.02.19г по делу №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E24879">
        <w:rPr>
          <w:sz w:val="24"/>
          <w:szCs w:val="24"/>
        </w:rPr>
        <w:t>В соответствии с п.12 Постановление Пле</w:t>
      </w:r>
      <w:r w:rsidR="003E7185">
        <w:rPr>
          <w:sz w:val="24"/>
          <w:szCs w:val="24"/>
        </w:rPr>
        <w:t>нума ВАС РФ от 23.07.2009 N 58 «</w:t>
      </w:r>
      <w:r w:rsidRPr="00E24879">
        <w:rPr>
          <w:sz w:val="24"/>
          <w:szCs w:val="24"/>
        </w:rPr>
        <w:t>О некоторых вопросах, связанных с удовлетворением требований залогодержате</w:t>
      </w:r>
      <w:r w:rsidR="003E7185">
        <w:rPr>
          <w:sz w:val="24"/>
          <w:szCs w:val="24"/>
        </w:rPr>
        <w:t>ля при банкротстве залогодателя»</w:t>
      </w:r>
      <w:r w:rsidRPr="00E24879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2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4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 w:val="24"/>
          <w:szCs w:val="24"/>
        </w:rPr>
        <w:t xml:space="preserve"> </w:t>
      </w:r>
      <w:hyperlink r:id="rId15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6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Pr="003E7185" w:rsidRDefault="00E24879" w:rsidP="003E718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</w:t>
      </w:r>
      <w:r w:rsidR="003E7185">
        <w:rPr>
          <w:rFonts w:ascii="Times New Roman" w:hAnsi="Times New Roman" w:cs="Times New Roman"/>
          <w:sz w:val="24"/>
          <w:szCs w:val="24"/>
          <w:u w:val="single"/>
        </w:rPr>
        <w:t>ется процесс торгов ___________</w:t>
      </w:r>
      <w:bookmarkStart w:id="0" w:name="_GoBack"/>
      <w:bookmarkEnd w:id="0"/>
    </w:p>
    <w:p w:rsidR="003E7185" w:rsidRDefault="003E7185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 w:type="page"/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17"/>
      <w:footerReference w:type="default" r:id="rId18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18" w:rsidRDefault="00F57618">
      <w:pPr>
        <w:spacing w:after="0" w:line="240" w:lineRule="auto"/>
      </w:pPr>
      <w:r>
        <w:separator/>
      </w:r>
    </w:p>
  </w:endnote>
  <w:endnote w:type="continuationSeparator" w:id="0">
    <w:p w:rsidR="00F57618" w:rsidRDefault="00F5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185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18" w:rsidRDefault="00F57618">
      <w:pPr>
        <w:spacing w:after="0" w:line="240" w:lineRule="auto"/>
      </w:pPr>
      <w:r>
        <w:separator/>
      </w:r>
    </w:p>
  </w:footnote>
  <w:footnote w:type="continuationSeparator" w:id="0">
    <w:p w:rsidR="00F57618" w:rsidRDefault="00F57618">
      <w:pPr>
        <w:spacing w:after="0" w:line="240" w:lineRule="auto"/>
      </w:pPr>
      <w:r>
        <w:continuationSeparator/>
      </w:r>
    </w:p>
  </w:footnote>
  <w:footnote w:id="1">
    <w:p w:rsidR="003E7185" w:rsidRDefault="003E7185">
      <w:pPr>
        <w:pStyle w:val="aa"/>
      </w:pPr>
      <w:r>
        <w:rPr>
          <w:rStyle w:val="ac"/>
        </w:rPr>
        <w:footnoteRef/>
      </w:r>
      <w:r>
        <w:t xml:space="preserve"> </w:t>
      </w:r>
      <w:r w:rsidRPr="004113A0">
        <w:rPr>
          <w:rFonts w:ascii="Times New Roman" w:eastAsia="Calibri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E7185"/>
    <w:rsid w:val="003F4A8E"/>
    <w:rsid w:val="004113A0"/>
    <w:rsid w:val="0049048C"/>
    <w:rsid w:val="004E4C5C"/>
    <w:rsid w:val="0054418F"/>
    <w:rsid w:val="00550653"/>
    <w:rsid w:val="00563B71"/>
    <w:rsid w:val="00725406"/>
    <w:rsid w:val="00786D27"/>
    <w:rsid w:val="008D5B1A"/>
    <w:rsid w:val="009A7C5F"/>
    <w:rsid w:val="00A35CB5"/>
    <w:rsid w:val="00AD6D60"/>
    <w:rsid w:val="00B911E1"/>
    <w:rsid w:val="00C570DD"/>
    <w:rsid w:val="00CC28EB"/>
    <w:rsid w:val="00DF5CD0"/>
    <w:rsid w:val="00E24879"/>
    <w:rsid w:val="00E3684C"/>
    <w:rsid w:val="00F31372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E718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718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7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E718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718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7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323C7-5E78-4BAE-9C45-A22B3E0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17</cp:revision>
  <dcterms:created xsi:type="dcterms:W3CDTF">2017-10-04T11:55:00Z</dcterms:created>
  <dcterms:modified xsi:type="dcterms:W3CDTF">2019-12-25T07:56:00Z</dcterms:modified>
</cp:coreProperties>
</file>