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B86D2A"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470F9E">
        <w:rPr>
          <w:sz w:val="23"/>
          <w:szCs w:val="23"/>
        </w:rPr>
        <w:tab/>
      </w:r>
      <w:r w:rsidR="00470F9E">
        <w:rPr>
          <w:sz w:val="23"/>
          <w:szCs w:val="23"/>
        </w:rPr>
        <w:tab/>
      </w:r>
      <w:r w:rsidR="00470F9E">
        <w:rPr>
          <w:sz w:val="23"/>
          <w:szCs w:val="23"/>
        </w:rPr>
        <w:tab/>
      </w:r>
      <w:r w:rsidR="00470F9E">
        <w:rPr>
          <w:sz w:val="23"/>
          <w:szCs w:val="23"/>
        </w:rPr>
        <w:tab/>
      </w:r>
      <w:r w:rsidR="00470F9E">
        <w:rPr>
          <w:sz w:val="23"/>
          <w:szCs w:val="23"/>
        </w:rPr>
        <w:tab/>
      </w:r>
      <w:r w:rsidR="00470F9E">
        <w:rPr>
          <w:sz w:val="23"/>
          <w:szCs w:val="23"/>
        </w:rPr>
        <w:tab/>
      </w:r>
      <w:r w:rsidR="00470F9E">
        <w:rPr>
          <w:sz w:val="23"/>
          <w:szCs w:val="23"/>
        </w:rPr>
        <w:tab/>
      </w:r>
      <w:r w:rsidR="00470F9E">
        <w:rPr>
          <w:sz w:val="23"/>
          <w:szCs w:val="23"/>
        </w:rPr>
        <w:tab/>
      </w:r>
      <w:r w:rsidR="00470F9E">
        <w:rPr>
          <w:sz w:val="23"/>
          <w:szCs w:val="23"/>
        </w:rPr>
        <w:tab/>
        <w:t>«____»_____________ 2020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470F9E" w:rsidP="005C5DE1">
      <w:pPr>
        <w:pStyle w:val="Default"/>
        <w:jc w:val="both"/>
        <w:rPr>
          <w:sz w:val="23"/>
          <w:szCs w:val="23"/>
        </w:rPr>
      </w:pPr>
      <w:r w:rsidRPr="00470F9E">
        <w:t xml:space="preserve">ООО «ШТРИХ ЛТД» (ОГРН 1025601810365, ИНН 5612028192, 460024, </w:t>
      </w:r>
      <w:proofErr w:type="spellStart"/>
      <w:r w:rsidRPr="00470F9E">
        <w:t>г</w:t>
      </w:r>
      <w:proofErr w:type="gramStart"/>
      <w:r w:rsidRPr="00470F9E">
        <w:t>.О</w:t>
      </w:r>
      <w:proofErr w:type="gramEnd"/>
      <w:r w:rsidRPr="00470F9E">
        <w:t>ренбург</w:t>
      </w:r>
      <w:proofErr w:type="spellEnd"/>
      <w:r w:rsidRPr="00470F9E">
        <w:t>, ул. Туркестанская, д.14, оф 46)</w:t>
      </w:r>
      <w:r>
        <w:t xml:space="preserve"> в лице конкурсного управляющего</w:t>
      </w:r>
      <w:r w:rsidRPr="00470F9E">
        <w:t xml:space="preserve"> Семочкин</w:t>
      </w:r>
      <w:r>
        <w:t>а</w:t>
      </w:r>
      <w:r w:rsidRPr="00470F9E">
        <w:t xml:space="preserve"> Александр</w:t>
      </w:r>
      <w:r>
        <w:t>а</w:t>
      </w:r>
      <w:r w:rsidRPr="00470F9E">
        <w:t xml:space="preserve"> Евгеньевич</w:t>
      </w:r>
      <w:r>
        <w:t>а</w:t>
      </w:r>
      <w:r w:rsidRPr="00470F9E">
        <w:t xml:space="preserve"> (ИНН 026901660359, СНИЛС 120–932-511–19, 450098, </w:t>
      </w:r>
      <w:proofErr w:type="spellStart"/>
      <w:r w:rsidRPr="00470F9E">
        <w:t>г.Уфа</w:t>
      </w:r>
      <w:proofErr w:type="spellEnd"/>
      <w:r w:rsidRPr="00470F9E">
        <w:t xml:space="preserve">, ул. Российская д. 106, кв. 13, </w:t>
      </w:r>
      <w:proofErr w:type="spellStart"/>
      <w:r w:rsidRPr="00470F9E">
        <w:t>рег</w:t>
      </w:r>
      <w:proofErr w:type="spellEnd"/>
      <w:r w:rsidRPr="00470F9E">
        <w:t xml:space="preserve"> №в МСО ПАУ 813),</w:t>
      </w:r>
      <w:r>
        <w:t xml:space="preserve"> </w:t>
      </w:r>
      <w:r w:rsidRPr="00470F9E">
        <w:t xml:space="preserve">член Ассоциации «Межрегиональная саморегулируемая организация профессиональных арбитражных управляющих» (109240, г. Москва, </w:t>
      </w:r>
      <w:proofErr w:type="spellStart"/>
      <w:r w:rsidRPr="00470F9E">
        <w:t>Котельническая</w:t>
      </w:r>
      <w:proofErr w:type="spellEnd"/>
      <w:r w:rsidRPr="00470F9E">
        <w:t xml:space="preserve"> наб., д.17, ИНН 7705494552, ОГРН 1037705027249), действующий на основании решения Арбитражного суда Оренбургской области по делу №А47–3428/2018 от 27.11.2018 (резолютивная часть), </w:t>
      </w:r>
      <w:r w:rsidR="005D2DD7" w:rsidRPr="00747D0A">
        <w:t xml:space="preserve">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B82DB7">
      <w:pPr>
        <w:jc w:val="both"/>
        <w:rPr>
          <w:sz w:val="23"/>
          <w:szCs w:val="23"/>
        </w:rPr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 xml:space="preserve">я перечислить </w:t>
      </w:r>
      <w:r w:rsidR="00B82DB7">
        <w:rPr>
          <w:sz w:val="23"/>
          <w:szCs w:val="23"/>
        </w:rPr>
        <w:t xml:space="preserve">задаток </w:t>
      </w:r>
      <w:r w:rsidR="007A5EF9">
        <w:rPr>
          <w:sz w:val="23"/>
          <w:szCs w:val="23"/>
        </w:rPr>
        <w:t>на счет</w:t>
      </w:r>
      <w:r w:rsidR="00B82DB7">
        <w:rPr>
          <w:sz w:val="23"/>
          <w:szCs w:val="23"/>
        </w:rPr>
        <w:t xml:space="preserve"> должника</w:t>
      </w:r>
      <w:r w:rsidR="007A5EF9">
        <w:t xml:space="preserve">: </w:t>
      </w:r>
      <w:r w:rsidR="00470F9E" w:rsidRPr="00470F9E">
        <w:t>получатель – ООО «Штрих ЛТД» ИНН 5612028192 счет 40702810700130003744 в ПАО «МТС-БАНК» к/с 30101810180730000777 БИК 048073777 КПП 561201001</w:t>
      </w:r>
      <w:r w:rsidR="00B82DB7">
        <w:t>, наименование платежа «</w:t>
      </w:r>
      <w:r w:rsidR="00B82DB7" w:rsidRPr="007148BF">
        <w:t>Задаток для участия в торгах по лоту №</w:t>
      </w:r>
      <w:r w:rsidR="00470F9E">
        <w:t>1</w:t>
      </w:r>
      <w:r w:rsidR="00B82DB7">
        <w:t xml:space="preserve">» </w:t>
      </w:r>
      <w:r>
        <w:rPr>
          <w:sz w:val="23"/>
          <w:szCs w:val="23"/>
        </w:rPr>
        <w:t>в сумме</w:t>
      </w:r>
      <w:r w:rsidR="00B82DB7">
        <w:rPr>
          <w:sz w:val="23"/>
          <w:szCs w:val="23"/>
        </w:rPr>
        <w:t xml:space="preserve"> </w:t>
      </w:r>
      <w:r w:rsidR="00B96186">
        <w:rPr>
          <w:sz w:val="23"/>
          <w:szCs w:val="23"/>
        </w:rPr>
        <w:t>______________</w:t>
      </w:r>
      <w:r w:rsidR="00B82DB7">
        <w:rPr>
          <w:sz w:val="23"/>
          <w:szCs w:val="23"/>
        </w:rPr>
        <w:t xml:space="preserve"> руб.</w:t>
      </w:r>
      <w:r>
        <w:rPr>
          <w:sz w:val="23"/>
          <w:szCs w:val="23"/>
        </w:rPr>
        <w:t xml:space="preserve"> в счет обеспечения исполнения </w:t>
      </w:r>
      <w:proofErr w:type="gramStart"/>
      <w:r>
        <w:rPr>
          <w:sz w:val="23"/>
          <w:szCs w:val="23"/>
        </w:rPr>
        <w:t>об</w:t>
      </w:r>
      <w:r w:rsidR="00B82DB7">
        <w:rPr>
          <w:sz w:val="23"/>
          <w:szCs w:val="23"/>
        </w:rPr>
        <w:t>язательств</w:t>
      </w:r>
      <w:proofErr w:type="gramEnd"/>
      <w:r w:rsidR="00B82DB7">
        <w:rPr>
          <w:sz w:val="23"/>
          <w:szCs w:val="23"/>
        </w:rPr>
        <w:t xml:space="preserve"> по оплате имущества </w:t>
      </w:r>
      <w:r>
        <w:rPr>
          <w:sz w:val="23"/>
          <w:szCs w:val="23"/>
        </w:rPr>
        <w:t xml:space="preserve">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АО «Российский аукционный дом</w:t>
      </w:r>
      <w:r w:rsidR="00903A5C">
        <w:t>»)</w:t>
      </w:r>
      <w:r w:rsidR="00B82D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B82DB7">
        <w:rPr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 w:rsidR="003441D6">
        <w:rPr>
          <w:sz w:val="23"/>
          <w:szCs w:val="23"/>
        </w:rPr>
        <w:t xml:space="preserve">Задаток вносится на счет не позднее даты и времени окончания приема заявок на участие в торгах. </w:t>
      </w:r>
      <w:r>
        <w:rPr>
          <w:sz w:val="23"/>
          <w:szCs w:val="23"/>
        </w:rPr>
        <w:t>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</w:t>
      </w:r>
      <w:r w:rsidR="00597933">
        <w:rPr>
          <w:sz w:val="23"/>
          <w:szCs w:val="23"/>
        </w:rPr>
        <w:t>Обеспечить поступление указанных</w:t>
      </w:r>
      <w:r>
        <w:rPr>
          <w:sz w:val="23"/>
          <w:szCs w:val="23"/>
        </w:rPr>
        <w:t xml:space="preserve"> в п.1.1. настоящего договора денежных средств на </w:t>
      </w:r>
      <w:r w:rsidR="00BC08B4">
        <w:rPr>
          <w:sz w:val="23"/>
          <w:szCs w:val="23"/>
        </w:rPr>
        <w:t>с</w:t>
      </w:r>
      <w:r>
        <w:rPr>
          <w:sz w:val="23"/>
          <w:szCs w:val="23"/>
        </w:rPr>
        <w:t xml:space="preserve">чет </w:t>
      </w:r>
      <w:r w:rsidR="00BC08B4">
        <w:rPr>
          <w:sz w:val="23"/>
          <w:szCs w:val="23"/>
        </w:rPr>
        <w:t>Продавца</w:t>
      </w:r>
      <w:r w:rsidR="005D2D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В случае признания Претендента победителем аукциона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470F9E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«Штрих ЛТД»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470F9E" w:rsidRDefault="00470F9E" w:rsidP="007A5EF9">
            <w:pPr>
              <w:jc w:val="both"/>
            </w:pPr>
            <w:r w:rsidRPr="00470F9E">
              <w:t xml:space="preserve">ОГРН 1025601810365, ИНН 5612028192, 460024, </w:t>
            </w:r>
            <w:proofErr w:type="spellStart"/>
            <w:r w:rsidRPr="00470F9E">
              <w:t>г</w:t>
            </w:r>
            <w:proofErr w:type="gramStart"/>
            <w:r w:rsidRPr="00470F9E">
              <w:t>.О</w:t>
            </w:r>
            <w:proofErr w:type="gramEnd"/>
            <w:r w:rsidRPr="00470F9E">
              <w:t>ренбург</w:t>
            </w:r>
            <w:proofErr w:type="spellEnd"/>
            <w:r w:rsidRPr="00470F9E">
              <w:t>, ул. Туркестанская, д.14, оф 46</w:t>
            </w:r>
          </w:p>
          <w:p w:rsidR="007A5EF9" w:rsidRDefault="000245F0" w:rsidP="007A5EF9">
            <w:pPr>
              <w:jc w:val="both"/>
            </w:pPr>
            <w:r>
              <w:t xml:space="preserve">Адрес для направления корреспонденции: </w:t>
            </w:r>
            <w:r w:rsidR="007A5EF9"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pBdr>
                <w:bottom w:val="single" w:sz="12" w:space="1" w:color="auto"/>
              </w:pBdr>
              <w:jc w:val="both"/>
            </w:pPr>
          </w:p>
          <w:p w:rsidR="00470F9E" w:rsidRDefault="00470F9E" w:rsidP="00470F9E">
            <w:pPr>
              <w:jc w:val="both"/>
            </w:pPr>
            <w:r>
              <w:t>Конкурсный управляющий</w:t>
            </w:r>
          </w:p>
          <w:p w:rsidR="00611FD3" w:rsidRPr="009A008E" w:rsidRDefault="007A5EF9" w:rsidP="00470F9E">
            <w:pPr>
              <w:jc w:val="both"/>
            </w:pPr>
            <w:r w:rsidRPr="00C513E5">
              <w:t>Семочкин А.Е.</w:t>
            </w:r>
            <w:r w:rsidR="00DC2708"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sectPr w:rsidR="00206F75" w:rsidSect="00B82DB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9A" w:rsidRDefault="008E3A9A" w:rsidP="005544E3">
      <w:r>
        <w:separator/>
      </w:r>
    </w:p>
  </w:endnote>
  <w:endnote w:type="continuationSeparator" w:id="0">
    <w:p w:rsidR="008E3A9A" w:rsidRDefault="008E3A9A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33">
          <w:rPr>
            <w:noProof/>
          </w:rPr>
          <w:t>2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9A" w:rsidRDefault="008E3A9A" w:rsidP="005544E3">
      <w:r>
        <w:separator/>
      </w:r>
    </w:p>
  </w:footnote>
  <w:footnote w:type="continuationSeparator" w:id="0">
    <w:p w:rsidR="008E3A9A" w:rsidRDefault="008E3A9A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229C9"/>
    <w:rsid w:val="000245F0"/>
    <w:rsid w:val="001F24DB"/>
    <w:rsid w:val="00206F75"/>
    <w:rsid w:val="003441D6"/>
    <w:rsid w:val="004223CF"/>
    <w:rsid w:val="00470F9E"/>
    <w:rsid w:val="00496B5D"/>
    <w:rsid w:val="004B6E5D"/>
    <w:rsid w:val="004C6026"/>
    <w:rsid w:val="00531EB5"/>
    <w:rsid w:val="005544E3"/>
    <w:rsid w:val="00584210"/>
    <w:rsid w:val="00597933"/>
    <w:rsid w:val="005A5E3D"/>
    <w:rsid w:val="005C5DE1"/>
    <w:rsid w:val="005D2DD7"/>
    <w:rsid w:val="00611FD3"/>
    <w:rsid w:val="007A5EF9"/>
    <w:rsid w:val="007C621C"/>
    <w:rsid w:val="007F1BE2"/>
    <w:rsid w:val="00802FB3"/>
    <w:rsid w:val="0087029E"/>
    <w:rsid w:val="008835F5"/>
    <w:rsid w:val="00892306"/>
    <w:rsid w:val="008B11EB"/>
    <w:rsid w:val="008B610C"/>
    <w:rsid w:val="008E3A9A"/>
    <w:rsid w:val="00903A5C"/>
    <w:rsid w:val="00977589"/>
    <w:rsid w:val="009C1150"/>
    <w:rsid w:val="009F436F"/>
    <w:rsid w:val="00A14230"/>
    <w:rsid w:val="00A36AD1"/>
    <w:rsid w:val="00A97EA2"/>
    <w:rsid w:val="00AA2ABB"/>
    <w:rsid w:val="00AA2EAD"/>
    <w:rsid w:val="00B25CA7"/>
    <w:rsid w:val="00B44A48"/>
    <w:rsid w:val="00B82DB7"/>
    <w:rsid w:val="00B86D2A"/>
    <w:rsid w:val="00B96186"/>
    <w:rsid w:val="00BC08B4"/>
    <w:rsid w:val="00C06EFE"/>
    <w:rsid w:val="00C16FD1"/>
    <w:rsid w:val="00CC5E74"/>
    <w:rsid w:val="00D0554B"/>
    <w:rsid w:val="00DC037A"/>
    <w:rsid w:val="00DC1625"/>
    <w:rsid w:val="00DC2708"/>
    <w:rsid w:val="00E01F9E"/>
    <w:rsid w:val="00E2561E"/>
    <w:rsid w:val="00E31045"/>
    <w:rsid w:val="00E90FE1"/>
    <w:rsid w:val="00EA193C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</cp:revision>
  <dcterms:created xsi:type="dcterms:W3CDTF">2020-02-03T16:34:00Z</dcterms:created>
  <dcterms:modified xsi:type="dcterms:W3CDTF">2020-02-10T17:45:00Z</dcterms:modified>
</cp:coreProperties>
</file>