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24678944"/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Электронный аукцион будет проводиться 30 апреля 2020 года</w:t>
      </w:r>
      <w:r w:rsidRPr="003A078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Прием заявок с 31.03.2020 по 29.04.2020 до 15:00.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Задаток должен поступить на счет Организатора торгов не позднее 28.04.2020.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Допуск претендентов к электронному аукциону осуществляется 29.04.2020.</w:t>
      </w:r>
      <w:bookmarkEnd w:id="0"/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0068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1"/>
    <w:p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6A29D9" w:rsidRPr="000733B8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98217F" w:rsidRPr="006200EE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</w:t>
      </w:r>
      <w:r w:rsidRPr="0098217F">
        <w:t xml:space="preserve"> </w:t>
      </w:r>
      <w:r w:rsid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Ад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министративное здание, гараж, котельная, назначение: нежилое, количество этажей: 3, в том числе подземных: 1, площадь: 664,9 </w:t>
      </w:r>
      <w:proofErr w:type="spellStart"/>
      <w:proofErr w:type="gram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расположенные по адресу: Оренбургская область, р-н </w:t>
      </w:r>
      <w:proofErr w:type="spell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Беляевский</w:t>
      </w:r>
      <w:proofErr w:type="spell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с. Беляевка, ул. Банковская, д. 11А, кадастровый номер 56:06:0000000:1324;</w:t>
      </w:r>
    </w:p>
    <w:p w:rsidR="006A29D9" w:rsidRPr="000733B8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2: </w:t>
      </w:r>
      <w:r w:rsid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емельный участок, площадь: 1000+/-6,30 </w:t>
      </w:r>
      <w:proofErr w:type="spell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., категория земель: земли населенных пунктов, виды разрешенного использования: банковская и страховая деятельность, кадастровый номер 56:06:0201009:101, расположенный по адресу: обл. Оренбургская, р-н </w:t>
      </w:r>
      <w:proofErr w:type="spell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Беляевский</w:t>
      </w:r>
      <w:proofErr w:type="spell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с. Беляевка, ул. Банковская, 11 «а»</w:t>
      </w:r>
    </w:p>
    <w:p w:rsidR="00133586" w:rsidRPr="000733B8" w:rsidRDefault="00133586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:rsidR="0098217F" w:rsidRPr="0098217F" w:rsidRDefault="006A29D9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="003A0784" w:rsidRPr="003A0784">
        <w:rPr>
          <w:rFonts w:ascii="Times New Roman" w:hAnsi="Times New Roman" w:cs="Times New Roman"/>
          <w:b/>
          <w:sz w:val="24"/>
          <w:szCs w:val="24"/>
        </w:rPr>
        <w:t xml:space="preserve">3 464 240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3A0784" w:rsidRPr="003A0784">
        <w:rPr>
          <w:rFonts w:ascii="Times New Roman" w:hAnsi="Times New Roman" w:cs="Times New Roman"/>
          <w:b/>
          <w:sz w:val="24"/>
          <w:szCs w:val="24"/>
        </w:rPr>
        <w:t xml:space="preserve">3 011 200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 w:rsidR="006200EE">
        <w:rPr>
          <w:rFonts w:ascii="Times New Roman" w:hAnsi="Times New Roman" w:cs="Times New Roman"/>
          <w:b/>
          <w:sz w:val="24"/>
          <w:szCs w:val="24"/>
        </w:rPr>
        <w:t>2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0784" w:rsidRPr="003A0784">
        <w:rPr>
          <w:rFonts w:ascii="Times New Roman" w:hAnsi="Times New Roman" w:cs="Times New Roman"/>
          <w:b/>
          <w:sz w:val="24"/>
          <w:szCs w:val="24"/>
        </w:rPr>
        <w:t xml:space="preserve">453 040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="003A0784">
        <w:rPr>
          <w:rFonts w:ascii="Times New Roman" w:hAnsi="Times New Roman" w:cs="Times New Roman"/>
          <w:b/>
          <w:sz w:val="24"/>
          <w:szCs w:val="24"/>
        </w:rPr>
        <w:t>346 424</w:t>
      </w:r>
      <w:r w:rsidR="006200EE" w:rsidRPr="0062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A0784">
        <w:rPr>
          <w:rFonts w:ascii="Times New Roman" w:hAnsi="Times New Roman" w:cs="Times New Roman"/>
          <w:b/>
          <w:sz w:val="24"/>
          <w:szCs w:val="24"/>
        </w:rPr>
        <w:t>173 212</w:t>
      </w:r>
      <w:r w:rsidR="0062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:rsidR="00263511" w:rsidRDefault="00263511" w:rsidP="00263511">
      <w:pPr>
        <w:tabs>
          <w:tab w:val="center" w:pos="5131"/>
          <w:tab w:val="left" w:pos="7515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511" w:rsidRDefault="00D54951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:rsidR="00D54951" w:rsidRDefault="00D54951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6200EE" w:rsidRDefault="006A29D9" w:rsidP="006200EE">
      <w:pPr>
        <w:widowControl w:val="0"/>
        <w:suppressAutoHyphens/>
        <w:spacing w:after="0" w:line="240" w:lineRule="auto"/>
        <w:ind w:right="-57"/>
        <w:jc w:val="both"/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 w:rsidR="0098217F" w:rsidRPr="006200EE">
        <w:rPr>
          <w:rFonts w:ascii="Times New Roman" w:hAnsi="Times New Roman" w:cs="Times New Roman"/>
        </w:rPr>
        <w:t>,</w:t>
      </w:r>
      <w:r w:rsidR="006200EE" w:rsidRPr="006200EE">
        <w:rPr>
          <w:rFonts w:ascii="Times New Roman" w:hAnsi="Times New Roman" w:cs="Times New Roman"/>
        </w:rPr>
        <w:t xml:space="preserve"> </w:t>
      </w:r>
      <w:r w:rsidR="0098217F" w:rsidRP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(ограничений):</w:t>
      </w:r>
      <w:r w:rsidR="0098217F" w:rsidRPr="0098217F">
        <w:t xml:space="preserve"> </w:t>
      </w:r>
    </w:p>
    <w:p w:rsidR="006200EE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00EE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00EE">
        <w:rPr>
          <w:rFonts w:ascii="Times New Roman" w:hAnsi="Times New Roman" w:cs="Times New Roman"/>
          <w:sz w:val="24"/>
          <w:szCs w:val="24"/>
        </w:rPr>
        <w:t>ействующего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0EE">
        <w:rPr>
          <w:rFonts w:ascii="Times New Roman" w:hAnsi="Times New Roman" w:cs="Times New Roman"/>
          <w:sz w:val="24"/>
          <w:szCs w:val="24"/>
        </w:rPr>
        <w:t xml:space="preserve"> аренды, не подлежащего государственной регистрации, № 91 от 20.06.2019г., заключенного с Хрусталевым М.А. на 11 месяцев с автоматической пролонгацией на тот же срок, площадь 45,9 кв. м по ставке 70,0 руб. за 1 кв. м,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B82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0E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предварительного договора аренды нежилых помещений, общей площадью  150 кв. м, расположенных на первом этаже Объекта 1 по ставке не выше </w:t>
      </w:r>
      <w:r w:rsidR="0042195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115,20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руб.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 1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 м, в том числе НДС, без учета коммунальных и эксплуатационных расходов, для размещения сотрудников аппарата банка, дополнительного офиса № 8623/0246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:rsidR="006200EE" w:rsidRPr="006A29D9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3"/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4"/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5"/>
    <w:p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</w:t>
      </w:r>
      <w:r w:rsidR="001F3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875B82">
      <w:headerReference w:type="default" r:id="rId12"/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9C" w:rsidRDefault="00ED5D9C" w:rsidP="00603CB3">
      <w:pPr>
        <w:spacing w:after="0" w:line="240" w:lineRule="auto"/>
      </w:pPr>
      <w:r>
        <w:separator/>
      </w:r>
    </w:p>
  </w:endnote>
  <w:endnote w:type="continuationSeparator" w:id="0">
    <w:p w:rsidR="00ED5D9C" w:rsidRDefault="00ED5D9C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9C" w:rsidRDefault="00ED5D9C" w:rsidP="00603CB3">
      <w:pPr>
        <w:spacing w:after="0" w:line="240" w:lineRule="auto"/>
      </w:pPr>
      <w:r>
        <w:separator/>
      </w:r>
    </w:p>
  </w:footnote>
  <w:footnote w:type="continuationSeparator" w:id="0">
    <w:p w:rsidR="00ED5D9C" w:rsidRDefault="00ED5D9C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156E1"/>
    <w:rsid w:val="000205F4"/>
    <w:rsid w:val="00022EF7"/>
    <w:rsid w:val="00026BD0"/>
    <w:rsid w:val="00042ADA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131808"/>
    <w:rsid w:val="00133586"/>
    <w:rsid w:val="00133DAD"/>
    <w:rsid w:val="00167417"/>
    <w:rsid w:val="0018753A"/>
    <w:rsid w:val="00196467"/>
    <w:rsid w:val="001A5226"/>
    <w:rsid w:val="001B001B"/>
    <w:rsid w:val="001B366D"/>
    <w:rsid w:val="001E6CE7"/>
    <w:rsid w:val="001F24E3"/>
    <w:rsid w:val="001F3DE7"/>
    <w:rsid w:val="001F71DC"/>
    <w:rsid w:val="00242987"/>
    <w:rsid w:val="0025263F"/>
    <w:rsid w:val="00257A78"/>
    <w:rsid w:val="00263511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D335E"/>
    <w:rsid w:val="00421953"/>
    <w:rsid w:val="00427B6E"/>
    <w:rsid w:val="00432625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0ACF"/>
    <w:rsid w:val="004E54F7"/>
    <w:rsid w:val="005048FC"/>
    <w:rsid w:val="0052126E"/>
    <w:rsid w:val="00530D26"/>
    <w:rsid w:val="00533E28"/>
    <w:rsid w:val="0055597A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C5EB5"/>
    <w:rsid w:val="007D1FF0"/>
    <w:rsid w:val="007E45AD"/>
    <w:rsid w:val="007F2078"/>
    <w:rsid w:val="008100BE"/>
    <w:rsid w:val="00831BD5"/>
    <w:rsid w:val="00835DDD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62FC2"/>
    <w:rsid w:val="00C8372F"/>
    <w:rsid w:val="00CB1B99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E03B1D"/>
    <w:rsid w:val="00E159AF"/>
    <w:rsid w:val="00E15BE3"/>
    <w:rsid w:val="00E1613E"/>
    <w:rsid w:val="00E30A56"/>
    <w:rsid w:val="00E32CBC"/>
    <w:rsid w:val="00E51BCB"/>
    <w:rsid w:val="00E5425D"/>
    <w:rsid w:val="00E6009A"/>
    <w:rsid w:val="00E73421"/>
    <w:rsid w:val="00E73A79"/>
    <w:rsid w:val="00E857F4"/>
    <w:rsid w:val="00ED5D9C"/>
    <w:rsid w:val="00F072F2"/>
    <w:rsid w:val="00F20113"/>
    <w:rsid w:val="00F3262A"/>
    <w:rsid w:val="00F34B7B"/>
    <w:rsid w:val="00F42CD3"/>
    <w:rsid w:val="00F579B4"/>
    <w:rsid w:val="00F65370"/>
    <w:rsid w:val="00F81D0A"/>
    <w:rsid w:val="00F949B6"/>
    <w:rsid w:val="00FA3449"/>
    <w:rsid w:val="00FB41A8"/>
    <w:rsid w:val="00FB4EA9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4717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11</cp:revision>
  <cp:lastPrinted>2016-02-26T08:58:00Z</cp:lastPrinted>
  <dcterms:created xsi:type="dcterms:W3CDTF">2020-02-26T16:04:00Z</dcterms:created>
  <dcterms:modified xsi:type="dcterms:W3CDTF">2020-03-30T08:32:00Z</dcterms:modified>
</cp:coreProperties>
</file>